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314CB" w14:textId="065C0E31" w:rsidR="00FE7A02" w:rsidRPr="000A39FF" w:rsidRDefault="00657939"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Rok 2022</w:t>
      </w:r>
      <w:r w:rsidR="00FF694B" w:rsidRPr="000A39FF">
        <w:rPr>
          <w:rFonts w:ascii="Invesco Interstate Bold" w:hAnsi="Invesco Interstate Bold"/>
          <w:b/>
          <w:bCs/>
          <w:sz w:val="28"/>
          <w:szCs w:val="28"/>
        </w:rPr>
        <w:t>:</w:t>
      </w:r>
      <w:r w:rsidR="000A39FF">
        <w:rPr>
          <w:rFonts w:ascii="Invesco Interstate Bold" w:hAnsi="Invesco Interstate Bold"/>
          <w:b/>
          <w:bCs/>
          <w:sz w:val="28"/>
          <w:szCs w:val="28"/>
        </w:rPr>
        <w:t xml:space="preserve"> J</w:t>
      </w:r>
      <w:r>
        <w:rPr>
          <w:rFonts w:ascii="Invesco Interstate Bold" w:hAnsi="Invesco Interstate Bold"/>
          <w:b/>
          <w:bCs/>
          <w:sz w:val="28"/>
          <w:szCs w:val="28"/>
        </w:rPr>
        <w:t>ak to bude dál?</w:t>
      </w:r>
    </w:p>
    <w:p w14:paraId="4AD3FC23" w14:textId="77777777" w:rsidR="00657939" w:rsidRPr="00657939" w:rsidRDefault="00657939" w:rsidP="00657939">
      <w:pPr>
        <w:pStyle w:val="Normlnweb"/>
        <w:numPr>
          <w:ilvl w:val="0"/>
          <w:numId w:val="19"/>
        </w:numPr>
        <w:jc w:val="both"/>
        <w:rPr>
          <w:rFonts w:ascii="Invesco Interstate Bold" w:eastAsia="Times New Roman" w:hAnsi="Invesco Interstate Bold"/>
          <w:b/>
          <w:bCs/>
          <w:lang w:eastAsia="de-DE"/>
        </w:rPr>
      </w:pPr>
      <w:r w:rsidRPr="00657939">
        <w:rPr>
          <w:rFonts w:ascii="Invesco Interstate Bold" w:eastAsia="Times New Roman" w:hAnsi="Invesco Interstate Bold"/>
          <w:b/>
          <w:bCs/>
          <w:lang w:eastAsia="de-DE"/>
        </w:rPr>
        <w:t>Rusko-ukrajinská válka prohloubila inflační tlaky a působila na hospodářský růst v důsledku prudkého růstu cen komodit a energií.</w:t>
      </w:r>
    </w:p>
    <w:p w14:paraId="315072F2" w14:textId="4166DCA6" w:rsidR="00657939" w:rsidRDefault="00657939" w:rsidP="00657939">
      <w:pPr>
        <w:pStyle w:val="Normlnweb"/>
        <w:numPr>
          <w:ilvl w:val="0"/>
          <w:numId w:val="19"/>
        </w:numPr>
        <w:rPr>
          <w:rFonts w:ascii="Invesco Interstate Bold" w:eastAsia="Times New Roman" w:hAnsi="Invesco Interstate Bold"/>
          <w:b/>
          <w:bCs/>
          <w:lang w:eastAsia="de-DE"/>
        </w:rPr>
      </w:pPr>
      <w:r w:rsidRPr="00657939">
        <w:rPr>
          <w:rFonts w:ascii="Invesco Interstate Bold" w:eastAsia="Times New Roman" w:hAnsi="Invesco Interstate Bold"/>
          <w:b/>
          <w:bCs/>
          <w:lang w:eastAsia="de-DE"/>
        </w:rPr>
        <w:t xml:space="preserve">Výhled společnosti </w:t>
      </w:r>
      <w:proofErr w:type="spellStart"/>
      <w:r w:rsidRPr="00657939">
        <w:rPr>
          <w:rFonts w:ascii="Invesco Interstate Bold" w:eastAsia="Times New Roman" w:hAnsi="Invesco Interstate Bold"/>
          <w:b/>
          <w:bCs/>
          <w:lang w:eastAsia="de-DE"/>
        </w:rPr>
        <w:t>Invesco</w:t>
      </w:r>
      <w:proofErr w:type="spellEnd"/>
      <w:r w:rsidRPr="00657939">
        <w:rPr>
          <w:rFonts w:ascii="Invesco Interstate Bold" w:eastAsia="Times New Roman" w:hAnsi="Invesco Interstate Bold"/>
          <w:b/>
          <w:bCs/>
          <w:lang w:eastAsia="de-DE"/>
        </w:rPr>
        <w:t xml:space="preserve"> se snaží posoudit rovnováhu hospodářských a geopolitických rizik na pozadí zvýšené globální inflace a rozdílných měnových politik.</w:t>
      </w:r>
    </w:p>
    <w:p w14:paraId="6EF31EEE" w14:textId="2FAB3F30" w:rsidR="00657939" w:rsidRDefault="00657939" w:rsidP="00657939">
      <w:pPr>
        <w:pStyle w:val="Normlnweb"/>
        <w:numPr>
          <w:ilvl w:val="0"/>
          <w:numId w:val="19"/>
        </w:numPr>
        <w:jc w:val="both"/>
        <w:rPr>
          <w:rFonts w:ascii="Invesco Interstate Bold" w:eastAsia="Times New Roman" w:hAnsi="Invesco Interstate Bold"/>
          <w:b/>
          <w:bCs/>
          <w:lang w:eastAsia="de-DE"/>
        </w:rPr>
      </w:pPr>
      <w:r w:rsidRPr="00657939">
        <w:rPr>
          <w:rFonts w:ascii="Invesco Interstate Bold" w:eastAsia="Times New Roman" w:hAnsi="Invesco Interstate Bold"/>
          <w:b/>
          <w:bCs/>
          <w:lang w:eastAsia="de-DE"/>
        </w:rPr>
        <w:t>Vyšší inflace a zpomalení růstu naznačuje, že se možná nacházíme na konci hospodářského cyklu. Ve zbytku roku 2022 pravděpodobně dojde k výraznému zpomalení růstu hlavních vyspělých ekonomik</w:t>
      </w:r>
      <w:r>
        <w:rPr>
          <w:rFonts w:ascii="Invesco Interstate Bold" w:eastAsia="Times New Roman" w:hAnsi="Invesco Interstate Bold"/>
          <w:b/>
          <w:bCs/>
          <w:lang w:eastAsia="de-DE"/>
        </w:rPr>
        <w:t xml:space="preserve"> a k výraznému obratu měnové politiky</w:t>
      </w:r>
    </w:p>
    <w:p w14:paraId="246FE3FF" w14:textId="686E56DB" w:rsidR="00657939" w:rsidRPr="00657939" w:rsidRDefault="00657939" w:rsidP="00657939">
      <w:pPr>
        <w:pStyle w:val="Normlnweb"/>
        <w:numPr>
          <w:ilvl w:val="0"/>
          <w:numId w:val="19"/>
        </w:numPr>
        <w:jc w:val="both"/>
        <w:rPr>
          <w:rFonts w:ascii="Invesco Interstate Bold" w:eastAsia="Times New Roman" w:hAnsi="Invesco Interstate Bold"/>
          <w:b/>
          <w:bCs/>
          <w:lang w:eastAsia="de-DE"/>
        </w:rPr>
      </w:pPr>
      <w:r w:rsidRPr="00657939">
        <w:rPr>
          <w:rFonts w:ascii="Invesco Interstate Bold" w:eastAsia="Times New Roman" w:hAnsi="Invesco Interstate Bold"/>
          <w:b/>
          <w:bCs/>
          <w:lang w:eastAsia="de-DE"/>
        </w:rPr>
        <w:t xml:space="preserve">V ostrém kontrastu s koncem roku 2021 se očekávání v oblasti měnové politiky vyvíjejí tak, že naznačují rychlé tempo zpřísňování měnové politiky </w:t>
      </w:r>
      <w:proofErr w:type="spellStart"/>
      <w:r w:rsidRPr="00657939">
        <w:rPr>
          <w:rFonts w:ascii="Invesco Interstate Bold" w:eastAsia="Times New Roman" w:hAnsi="Invesco Interstate Bold"/>
          <w:b/>
          <w:bCs/>
          <w:lang w:eastAsia="de-DE"/>
        </w:rPr>
        <w:t>Fedu</w:t>
      </w:r>
      <w:proofErr w:type="spellEnd"/>
      <w:r w:rsidRPr="00657939">
        <w:rPr>
          <w:rFonts w:ascii="Invesco Interstate Bold" w:eastAsia="Times New Roman" w:hAnsi="Invesco Interstate Bold"/>
          <w:b/>
          <w:bCs/>
          <w:lang w:eastAsia="de-DE"/>
        </w:rPr>
        <w:t xml:space="preserve">, Bank </w:t>
      </w:r>
      <w:proofErr w:type="spellStart"/>
      <w:r w:rsidRPr="00657939">
        <w:rPr>
          <w:rFonts w:ascii="Invesco Interstate Bold" w:eastAsia="Times New Roman" w:hAnsi="Invesco Interstate Bold"/>
          <w:b/>
          <w:bCs/>
          <w:lang w:eastAsia="de-DE"/>
        </w:rPr>
        <w:t>of</w:t>
      </w:r>
      <w:proofErr w:type="spellEnd"/>
      <w:r w:rsidRPr="00657939">
        <w:rPr>
          <w:rFonts w:ascii="Invesco Interstate Bold" w:eastAsia="Times New Roman" w:hAnsi="Invesco Interstate Bold"/>
          <w:b/>
          <w:bCs/>
          <w:lang w:eastAsia="de-DE"/>
        </w:rPr>
        <w:t xml:space="preserve"> </w:t>
      </w:r>
      <w:proofErr w:type="spellStart"/>
      <w:proofErr w:type="gramStart"/>
      <w:r w:rsidRPr="00657939">
        <w:rPr>
          <w:rFonts w:ascii="Invesco Interstate Bold" w:eastAsia="Times New Roman" w:hAnsi="Invesco Interstate Bold"/>
          <w:b/>
          <w:bCs/>
          <w:lang w:eastAsia="de-DE"/>
        </w:rPr>
        <w:t>England</w:t>
      </w:r>
      <w:proofErr w:type="spellEnd"/>
      <w:proofErr w:type="gramEnd"/>
      <w:r w:rsidRPr="00657939">
        <w:rPr>
          <w:rFonts w:ascii="Invesco Interstate Bold" w:eastAsia="Times New Roman" w:hAnsi="Invesco Interstate Bold"/>
          <w:b/>
          <w:bCs/>
          <w:lang w:eastAsia="de-DE"/>
        </w:rPr>
        <w:t xml:space="preserve"> a dokonce i zpřísňování měnové politiky Evropské centrální banky.</w:t>
      </w:r>
    </w:p>
    <w:p w14:paraId="11526962" w14:textId="157C71BD" w:rsidR="00657939" w:rsidRPr="00F87FC4" w:rsidRDefault="007A7696" w:rsidP="00657939">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 xml:space="preserve">Analýza </w:t>
      </w:r>
      <w:r w:rsidR="00657939" w:rsidRPr="00F87FC4">
        <w:rPr>
          <w:rFonts w:ascii="Invesco Interstate Bold" w:hAnsi="Invesco Interstate Bold"/>
          <w:b/>
          <w:bCs/>
          <w:sz w:val="24"/>
          <w:szCs w:val="24"/>
        </w:rPr>
        <w:t>Kristi</w:t>
      </w:r>
      <w:r>
        <w:rPr>
          <w:rFonts w:ascii="Invesco Interstate Bold" w:hAnsi="Invesco Interstate Bold"/>
          <w:b/>
          <w:bCs/>
          <w:sz w:val="24"/>
          <w:szCs w:val="24"/>
        </w:rPr>
        <w:t>ny</w:t>
      </w:r>
      <w:r w:rsidR="00657939" w:rsidRPr="00F87FC4">
        <w:rPr>
          <w:rFonts w:ascii="Invesco Interstate Bold" w:hAnsi="Invesco Interstate Bold"/>
          <w:b/>
          <w:bCs/>
          <w:sz w:val="24"/>
          <w:szCs w:val="24"/>
        </w:rPr>
        <w:t xml:space="preserve"> </w:t>
      </w:r>
      <w:proofErr w:type="spellStart"/>
      <w:r w:rsidR="00657939" w:rsidRPr="00F87FC4">
        <w:rPr>
          <w:rFonts w:ascii="Invesco Interstate Bold" w:hAnsi="Invesco Interstate Bold"/>
          <w:b/>
          <w:bCs/>
          <w:sz w:val="24"/>
          <w:szCs w:val="24"/>
        </w:rPr>
        <w:t>Hooper</w:t>
      </w:r>
      <w:proofErr w:type="spellEnd"/>
      <w:r>
        <w:rPr>
          <w:rFonts w:ascii="Invesco Interstate Bold" w:hAnsi="Invesco Interstate Bold"/>
          <w:b/>
          <w:bCs/>
          <w:sz w:val="24"/>
          <w:szCs w:val="24"/>
        </w:rPr>
        <w:t xml:space="preserve">, vedoucí stratéžky globálních trhů, </w:t>
      </w:r>
      <w:proofErr w:type="spellStart"/>
      <w:r>
        <w:rPr>
          <w:rFonts w:ascii="Invesco Interstate Bold" w:hAnsi="Invesco Interstate Bold"/>
          <w:b/>
          <w:bCs/>
          <w:sz w:val="24"/>
          <w:szCs w:val="24"/>
        </w:rPr>
        <w:t>Invesco</w:t>
      </w:r>
      <w:proofErr w:type="spellEnd"/>
      <w:r w:rsidR="00657939" w:rsidRPr="00F87FC4">
        <w:rPr>
          <w:rFonts w:ascii="Invesco Interstate Bold" w:hAnsi="Invesco Interstate Bold"/>
          <w:b/>
          <w:bCs/>
          <w:sz w:val="24"/>
          <w:szCs w:val="24"/>
        </w:rPr>
        <w:t>:</w:t>
      </w:r>
    </w:p>
    <w:p w14:paraId="5E7863D7" w14:textId="77777777" w:rsidR="00657939" w:rsidRPr="00657939" w:rsidRDefault="00657939" w:rsidP="00657939">
      <w:pPr>
        <w:pStyle w:val="Normlnweb"/>
        <w:jc w:val="both"/>
        <w:rPr>
          <w:rFonts w:ascii="Invesco Interstate Light" w:eastAsiaTheme="minorEastAsia" w:hAnsi="Invesco Interstate Light"/>
          <w:sz w:val="22"/>
          <w:szCs w:val="22"/>
          <w:lang w:eastAsia="de-DE"/>
        </w:rPr>
      </w:pPr>
      <w:r w:rsidRPr="00657939">
        <w:rPr>
          <w:rFonts w:ascii="Invesco Interstate Light" w:eastAsiaTheme="minorEastAsia" w:hAnsi="Invesco Interstate Light"/>
          <w:sz w:val="22"/>
          <w:szCs w:val="22"/>
          <w:lang w:eastAsia="de-DE"/>
        </w:rPr>
        <w:t>Myslím, že je třeba zmínit, že vytváříme rámec, nikoli konkrétní pohled. Pomocí rámce můžeme poskytnout makro scénář, který považujeme za nejpravděpodobnější – to, čemu říkáme náš "základní scénář" -, ale také nabídnout dva další alternativní scénáře spolu s důsledky pro aktiva v případě, že se některý z těchto scénářů naplní.</w:t>
      </w:r>
    </w:p>
    <w:p w14:paraId="258E4D13" w14:textId="77777777" w:rsidR="00F87FC4" w:rsidRPr="00F87FC4" w:rsidRDefault="00F87FC4" w:rsidP="00F87FC4">
      <w:pPr>
        <w:pStyle w:val="Normlnweb"/>
        <w:jc w:val="both"/>
        <w:rPr>
          <w:rFonts w:ascii="Invesco Interstate Light" w:eastAsiaTheme="minorEastAsia" w:hAnsi="Invesco Interstate Light"/>
          <w:sz w:val="22"/>
          <w:szCs w:val="22"/>
          <w:lang w:eastAsia="de-DE"/>
        </w:rPr>
      </w:pPr>
      <w:r w:rsidRPr="00F87FC4">
        <w:rPr>
          <w:rFonts w:ascii="Invesco Interstate Light" w:eastAsiaTheme="minorEastAsia" w:hAnsi="Invesco Interstate Light"/>
          <w:sz w:val="22"/>
          <w:szCs w:val="22"/>
          <w:lang w:eastAsia="de-DE"/>
        </w:rPr>
        <w:t>Dovolte mi začít konstatováním zřejmého: většina světa se stále vzdaluje pandemii COVID-19, ale její pozoruhodné dopady na ekonomiky a politiky zůstávají v popředí zájmu, protože do hry vstupuje nový soubor nejistot.</w:t>
      </w:r>
    </w:p>
    <w:p w14:paraId="00610DFB" w14:textId="139C6F5C" w:rsidR="00F87FC4" w:rsidRDefault="00F87FC4" w:rsidP="00F87FC4">
      <w:pPr>
        <w:pStyle w:val="Normlnweb"/>
        <w:jc w:val="both"/>
        <w:rPr>
          <w:rFonts w:ascii="Invesco Interstate Light" w:eastAsiaTheme="minorEastAsia" w:hAnsi="Invesco Interstate Light"/>
          <w:sz w:val="22"/>
          <w:szCs w:val="22"/>
          <w:lang w:eastAsia="de-DE"/>
        </w:rPr>
      </w:pPr>
      <w:r w:rsidRPr="00F87FC4">
        <w:rPr>
          <w:rFonts w:ascii="Invesco Interstate Light" w:eastAsiaTheme="minorEastAsia" w:hAnsi="Invesco Interstate Light"/>
          <w:sz w:val="22"/>
          <w:szCs w:val="22"/>
          <w:lang w:eastAsia="de-DE"/>
        </w:rPr>
        <w:t xml:space="preserve">Historické kroky těch, co upravovali fiskální i měnové politiky z doby pandemie již ve většině ekonomik znovu po několikaletém spánku probudily inflaci, kterou pak ještě umocnila ruská invaze na Ukrajinu. Tato válka prohloubila inflační tlaky a zároveň vyvíjela tlak na hospodářský růst prostřednictvím prudkého růstu cen komodit/energií. </w:t>
      </w:r>
    </w:p>
    <w:p w14:paraId="1875224A" w14:textId="77777777" w:rsidR="00F87FC4" w:rsidRPr="00F87FC4" w:rsidRDefault="00F87FC4" w:rsidP="00F87FC4">
      <w:pPr>
        <w:pStyle w:val="Normlnweb"/>
        <w:jc w:val="both"/>
        <w:rPr>
          <w:rFonts w:ascii="Invesco Interstate Light" w:eastAsiaTheme="minorEastAsia" w:hAnsi="Invesco Interstate Light"/>
          <w:sz w:val="22"/>
          <w:szCs w:val="22"/>
          <w:lang w:eastAsia="de-DE"/>
        </w:rPr>
      </w:pPr>
      <w:r w:rsidRPr="00F87FC4">
        <w:rPr>
          <w:rFonts w:ascii="Invesco Interstate Light" w:eastAsiaTheme="minorEastAsia" w:hAnsi="Invesco Interstate Light"/>
          <w:sz w:val="22"/>
          <w:szCs w:val="22"/>
          <w:lang w:eastAsia="de-DE"/>
        </w:rPr>
        <w:t>Trhy se s tím vším potýkají právě v době, kdy mnoho centrálních bank zpřísňuje svou politiku – některé poměrně agresivně. Náš výhled na druhou polovinu roku se snaží zhodnotit rovnováhu ekonomických a geopolitických rizik na pozadí zvýšené globální inflace a rozdílných měnových politik.</w:t>
      </w:r>
    </w:p>
    <w:p w14:paraId="17557747" w14:textId="5F637B0C" w:rsidR="00F87FC4" w:rsidRPr="00F87FC4" w:rsidRDefault="00F87FC4" w:rsidP="00F87FC4">
      <w:pPr>
        <w:spacing w:before="100" w:beforeAutospacing="1" w:after="100" w:afterAutospacing="1" w:line="266" w:lineRule="atLeast"/>
        <w:jc w:val="both"/>
        <w:outlineLvl w:val="0"/>
        <w:rPr>
          <w:rFonts w:ascii="Invesco Interstate Bold" w:hAnsi="Invesco Interstate Bold"/>
          <w:b/>
          <w:bCs/>
          <w:sz w:val="24"/>
          <w:szCs w:val="24"/>
        </w:rPr>
      </w:pPr>
      <w:r w:rsidRPr="00F87FC4">
        <w:rPr>
          <w:rFonts w:ascii="Invesco Interstate Bold" w:hAnsi="Invesco Interstate Bold"/>
          <w:b/>
          <w:bCs/>
          <w:sz w:val="24"/>
          <w:szCs w:val="24"/>
        </w:rPr>
        <w:t>V jaké fázi cyklu se nacházíme?</w:t>
      </w:r>
    </w:p>
    <w:p w14:paraId="0674562D" w14:textId="096265AC" w:rsidR="00F87FC4" w:rsidRDefault="00F87FC4" w:rsidP="00F87FC4">
      <w:pPr>
        <w:pStyle w:val="Normlnweb"/>
        <w:jc w:val="both"/>
        <w:rPr>
          <w:rFonts w:ascii="Invesco Interstate Light" w:eastAsiaTheme="minorEastAsia" w:hAnsi="Invesco Interstate Light"/>
          <w:sz w:val="22"/>
          <w:szCs w:val="22"/>
          <w:lang w:eastAsia="de-DE"/>
        </w:rPr>
      </w:pPr>
      <w:r w:rsidRPr="00F87FC4">
        <w:rPr>
          <w:rFonts w:ascii="Invesco Interstate Light" w:eastAsiaTheme="minorEastAsia" w:hAnsi="Invesco Interstate Light"/>
          <w:sz w:val="22"/>
          <w:szCs w:val="22"/>
          <w:lang w:eastAsia="de-DE"/>
        </w:rPr>
        <w:t>I když faktory způsobené pandemií nadále komplikují analýzu cyklu, přesto vidíme vyšší inflaci a zpomalující růst, což naznačuje, že se možná nacházíme v pozdní fázi hospodářského cyklu. Zbytek roku 2022 pravděpodobně přinese výrazné zpomalení růstu hlavních vyspělých ekonomik.</w:t>
      </w:r>
    </w:p>
    <w:p w14:paraId="7368D9B6" w14:textId="4324B791" w:rsidR="00F87FC4" w:rsidRDefault="00F87FC4" w:rsidP="00F87FC4">
      <w:pPr>
        <w:pStyle w:val="Normlnweb"/>
        <w:jc w:val="both"/>
        <w:rPr>
          <w:rFonts w:ascii="Invesco Interstate Light" w:eastAsiaTheme="minorEastAsia" w:hAnsi="Invesco Interstate Light"/>
          <w:sz w:val="22"/>
          <w:szCs w:val="22"/>
          <w:lang w:eastAsia="de-DE"/>
        </w:rPr>
      </w:pPr>
      <w:r w:rsidRPr="00F87FC4">
        <w:rPr>
          <w:rFonts w:ascii="Invesco Interstate Light" w:eastAsiaTheme="minorEastAsia" w:hAnsi="Invesco Interstate Light"/>
          <w:sz w:val="22"/>
          <w:szCs w:val="22"/>
          <w:lang w:eastAsia="de-DE"/>
        </w:rPr>
        <w:t>Hlavní západní centrální banky, jako je americký Federální rezervní systém (Fed), se pokoušejí o křehké vyvažování a snaží se zpřísnit měnovou politiku tak, aby ochladily</w:t>
      </w:r>
      <w:r>
        <w:rPr>
          <w:rFonts w:ascii="Invesco Interstate Light" w:eastAsiaTheme="minorEastAsia" w:hAnsi="Invesco Interstate Light"/>
          <w:sz w:val="22"/>
          <w:szCs w:val="22"/>
          <w:lang w:eastAsia="de-DE"/>
        </w:rPr>
        <w:t xml:space="preserve"> </w:t>
      </w:r>
      <w:r w:rsidRPr="00F87FC4">
        <w:rPr>
          <w:rFonts w:ascii="Invesco Interstate Light" w:eastAsiaTheme="minorEastAsia" w:hAnsi="Invesco Interstate Light"/>
          <w:sz w:val="22"/>
          <w:szCs w:val="22"/>
          <w:lang w:eastAsia="de-DE"/>
        </w:rPr>
        <w:t xml:space="preserve">ekonomiku a snížily inflaci, ale zároveň, aby jejich ekonomiky neupadly do recese. Tento úkol je </w:t>
      </w:r>
      <w:r>
        <w:rPr>
          <w:rFonts w:ascii="Invesco Interstate Light" w:eastAsiaTheme="minorEastAsia" w:hAnsi="Invesco Interstate Light"/>
          <w:sz w:val="22"/>
          <w:szCs w:val="22"/>
          <w:lang w:eastAsia="de-DE"/>
        </w:rPr>
        <w:t xml:space="preserve">však </w:t>
      </w:r>
      <w:r w:rsidRPr="00F87FC4">
        <w:rPr>
          <w:rFonts w:ascii="Invesco Interstate Light" w:eastAsiaTheme="minorEastAsia" w:hAnsi="Invesco Interstate Light"/>
          <w:sz w:val="22"/>
          <w:szCs w:val="22"/>
          <w:lang w:eastAsia="de-DE"/>
        </w:rPr>
        <w:t>stále obtížnější.</w:t>
      </w:r>
    </w:p>
    <w:p w14:paraId="43785845" w14:textId="77777777" w:rsidR="00F87FC4" w:rsidRPr="00F87FC4" w:rsidRDefault="00F87FC4" w:rsidP="00F87FC4">
      <w:pPr>
        <w:pStyle w:val="Normlnweb"/>
        <w:jc w:val="both"/>
        <w:rPr>
          <w:rFonts w:ascii="Invesco Interstate Light" w:eastAsiaTheme="minorEastAsia" w:hAnsi="Invesco Interstate Light"/>
          <w:sz w:val="22"/>
          <w:szCs w:val="22"/>
          <w:lang w:eastAsia="de-DE"/>
        </w:rPr>
      </w:pPr>
    </w:p>
    <w:p w14:paraId="466B7ADF" w14:textId="2FB786FB" w:rsidR="00F87FC4" w:rsidRPr="00F87FC4" w:rsidRDefault="00F87FC4" w:rsidP="00F87FC4">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lastRenderedPageBreak/>
        <w:t>Jakým směrem se ekonomiky ubírají</w:t>
      </w:r>
      <w:r w:rsidRPr="00F87FC4">
        <w:rPr>
          <w:rFonts w:ascii="Invesco Interstate Bold" w:hAnsi="Invesco Interstate Bold"/>
          <w:b/>
          <w:bCs/>
          <w:sz w:val="24"/>
          <w:szCs w:val="24"/>
        </w:rPr>
        <w:t>?</w:t>
      </w:r>
    </w:p>
    <w:p w14:paraId="67A05988" w14:textId="77777777" w:rsidR="00F87FC4" w:rsidRPr="00F87FC4" w:rsidRDefault="00F87FC4" w:rsidP="00F87FC4">
      <w:pPr>
        <w:pStyle w:val="Normlnweb"/>
        <w:jc w:val="both"/>
        <w:rPr>
          <w:rFonts w:ascii="Invesco Interstate Light" w:eastAsiaTheme="minorEastAsia" w:hAnsi="Invesco Interstate Light"/>
          <w:sz w:val="22"/>
          <w:szCs w:val="22"/>
          <w:lang w:eastAsia="de-DE"/>
        </w:rPr>
      </w:pPr>
      <w:r w:rsidRPr="00F87FC4">
        <w:rPr>
          <w:rFonts w:ascii="Invesco Interstate Light" w:eastAsiaTheme="minorEastAsia" w:hAnsi="Invesco Interstate Light"/>
          <w:sz w:val="22"/>
          <w:szCs w:val="22"/>
          <w:lang w:eastAsia="de-DE"/>
        </w:rPr>
        <w:t>Po rozsáhlých programech fiskálních stimulů a velmi uvolněné měnové politice vidíme, že ekonomiky nadále zpomalují ze svých zvýšených postpandemických temp růstu. Mají přitom před sebou klíčové výzvy.</w:t>
      </w:r>
    </w:p>
    <w:p w14:paraId="5D42C32C" w14:textId="77777777" w:rsidR="00512C3F" w:rsidRPr="00512C3F" w:rsidRDefault="00512C3F" w:rsidP="00512C3F">
      <w:pPr>
        <w:pStyle w:val="Normlnweb"/>
        <w:jc w:val="both"/>
        <w:rPr>
          <w:rFonts w:ascii="Invesco Interstate Light" w:eastAsiaTheme="minorEastAsia" w:hAnsi="Invesco Interstate Light"/>
          <w:sz w:val="22"/>
          <w:szCs w:val="22"/>
          <w:lang w:eastAsia="de-DE"/>
        </w:rPr>
      </w:pPr>
      <w:r w:rsidRPr="00512C3F">
        <w:rPr>
          <w:rFonts w:ascii="Invesco Interstate Light" w:eastAsiaTheme="minorEastAsia" w:hAnsi="Invesco Interstate Light"/>
          <w:sz w:val="22"/>
          <w:szCs w:val="22"/>
          <w:lang w:eastAsia="de-DE"/>
        </w:rPr>
        <w:t>Vyspělé západní ekonomiky podle našeho názoru těží z postpandemického oživení ve druhé polovině roku 2022. To by mělo pomoci vytvořit alespoň určitou protiváhu ekonomickým protivětrům v podobě rostoucích sazeb a inflací vyvolaného ochlazení poptávky.</w:t>
      </w:r>
    </w:p>
    <w:p w14:paraId="1DD45F3C" w14:textId="572C67CE" w:rsidR="00512C3F" w:rsidRPr="00512C3F" w:rsidRDefault="00512C3F" w:rsidP="00512C3F">
      <w:pPr>
        <w:pStyle w:val="Normlnweb"/>
        <w:jc w:val="both"/>
        <w:rPr>
          <w:rFonts w:ascii="Invesco Interstate Light" w:eastAsiaTheme="minorEastAsia" w:hAnsi="Invesco Interstate Light"/>
          <w:sz w:val="22"/>
          <w:szCs w:val="22"/>
          <w:lang w:eastAsia="de-DE"/>
        </w:rPr>
      </w:pPr>
      <w:r w:rsidRPr="00512C3F">
        <w:rPr>
          <w:rFonts w:ascii="Invesco Interstate Light" w:eastAsiaTheme="minorEastAsia" w:hAnsi="Invesco Interstate Light"/>
          <w:sz w:val="22"/>
          <w:szCs w:val="22"/>
          <w:lang w:eastAsia="de-DE"/>
        </w:rPr>
        <w:t>Eurozóna i Velká Británie se potýkají s vyššími cenami energií a potenciálně omezenou nabídkou. Tyto vlivy budou pravděpodobně nejvýznamnější v polovině roku 2022</w:t>
      </w:r>
      <w:r>
        <w:rPr>
          <w:rFonts w:ascii="Invesco Interstate Light" w:eastAsiaTheme="minorEastAsia" w:hAnsi="Invesco Interstate Light"/>
          <w:sz w:val="22"/>
          <w:szCs w:val="22"/>
          <w:lang w:eastAsia="de-DE"/>
        </w:rPr>
        <w:t xml:space="preserve"> </w:t>
      </w:r>
      <w:r w:rsidRPr="00512C3F">
        <w:rPr>
          <w:rFonts w:ascii="Invesco Interstate Light" w:eastAsiaTheme="minorEastAsia" w:hAnsi="Invesco Interstate Light"/>
          <w:sz w:val="22"/>
          <w:szCs w:val="22"/>
          <w:lang w:eastAsia="de-DE"/>
        </w:rPr>
        <w:t>s tím, jak situaci vyhodnotí trhy v podobě geopolitické rizikové prémie.</w:t>
      </w:r>
    </w:p>
    <w:p w14:paraId="0AC78F72" w14:textId="77777777" w:rsidR="00512C3F" w:rsidRPr="00512C3F" w:rsidRDefault="00512C3F" w:rsidP="00512C3F">
      <w:pPr>
        <w:pStyle w:val="Normlnweb"/>
        <w:rPr>
          <w:rFonts w:ascii="Invesco Interstate Light" w:eastAsiaTheme="minorEastAsia" w:hAnsi="Invesco Interstate Light"/>
          <w:sz w:val="22"/>
          <w:szCs w:val="22"/>
          <w:lang w:eastAsia="de-DE"/>
        </w:rPr>
      </w:pPr>
      <w:r w:rsidRPr="00512C3F">
        <w:rPr>
          <w:rFonts w:ascii="Invesco Interstate Light" w:eastAsiaTheme="minorEastAsia" w:hAnsi="Invesco Interstate Light"/>
          <w:sz w:val="22"/>
          <w:szCs w:val="22"/>
          <w:lang w:eastAsia="de-DE"/>
        </w:rPr>
        <w:t xml:space="preserve">Kanadské ekonomice se daří lépe než ostatním západním vyspělým ekonomikám, neboť těží z vyšších cen energií a komodit, ale očekává se, že v důsledku zpřísňování měnové politiky Bank </w:t>
      </w:r>
      <w:proofErr w:type="spellStart"/>
      <w:r w:rsidRPr="00512C3F">
        <w:rPr>
          <w:rFonts w:ascii="Invesco Interstate Light" w:eastAsiaTheme="minorEastAsia" w:hAnsi="Invesco Interstate Light"/>
          <w:sz w:val="22"/>
          <w:szCs w:val="22"/>
          <w:lang w:eastAsia="de-DE"/>
        </w:rPr>
        <w:t>of</w:t>
      </w:r>
      <w:proofErr w:type="spellEnd"/>
      <w:r w:rsidRPr="00512C3F">
        <w:rPr>
          <w:rFonts w:ascii="Invesco Interstate Light" w:eastAsiaTheme="minorEastAsia" w:hAnsi="Invesco Interstate Light"/>
          <w:sz w:val="22"/>
          <w:szCs w:val="22"/>
          <w:lang w:eastAsia="de-DE"/>
        </w:rPr>
        <w:t xml:space="preserve"> </w:t>
      </w:r>
      <w:proofErr w:type="spellStart"/>
      <w:r w:rsidRPr="00512C3F">
        <w:rPr>
          <w:rFonts w:ascii="Invesco Interstate Light" w:eastAsiaTheme="minorEastAsia" w:hAnsi="Invesco Interstate Light"/>
          <w:sz w:val="22"/>
          <w:szCs w:val="22"/>
          <w:lang w:eastAsia="de-DE"/>
        </w:rPr>
        <w:t>Canada</w:t>
      </w:r>
      <w:proofErr w:type="spellEnd"/>
      <w:r w:rsidRPr="00512C3F">
        <w:rPr>
          <w:rFonts w:ascii="Invesco Interstate Light" w:eastAsiaTheme="minorEastAsia" w:hAnsi="Invesco Interstate Light"/>
          <w:sz w:val="22"/>
          <w:szCs w:val="22"/>
          <w:lang w:eastAsia="de-DE"/>
        </w:rPr>
        <w:t xml:space="preserve"> také zpomalí. </w:t>
      </w:r>
    </w:p>
    <w:p w14:paraId="0EF9FC95" w14:textId="094B7A9B" w:rsidR="00512C3F" w:rsidRPr="00512C3F" w:rsidRDefault="00512C3F" w:rsidP="00512C3F">
      <w:pPr>
        <w:pStyle w:val="Normlnweb"/>
        <w:jc w:val="both"/>
        <w:rPr>
          <w:rFonts w:ascii="Invesco Interstate Light" w:eastAsiaTheme="minorEastAsia" w:hAnsi="Invesco Interstate Light"/>
          <w:sz w:val="22"/>
          <w:szCs w:val="22"/>
          <w:lang w:eastAsia="de-DE"/>
        </w:rPr>
      </w:pPr>
      <w:r w:rsidRPr="00512C3F">
        <w:rPr>
          <w:rFonts w:ascii="Invesco Interstate Light" w:eastAsiaTheme="minorEastAsia" w:hAnsi="Invesco Interstate Light"/>
          <w:sz w:val="22"/>
          <w:szCs w:val="22"/>
          <w:lang w:eastAsia="de-DE"/>
        </w:rPr>
        <w:t xml:space="preserve">Čínský růst se </w:t>
      </w:r>
      <w:r w:rsidR="007A7696">
        <w:rPr>
          <w:rFonts w:ascii="Invesco Interstate Light" w:eastAsiaTheme="minorEastAsia" w:hAnsi="Invesco Interstate Light"/>
          <w:sz w:val="22"/>
          <w:szCs w:val="22"/>
          <w:lang w:eastAsia="de-DE"/>
        </w:rPr>
        <w:t xml:space="preserve">je nyní </w:t>
      </w:r>
      <w:proofErr w:type="gramStart"/>
      <w:r w:rsidR="007A7696">
        <w:rPr>
          <w:rFonts w:ascii="Invesco Interstate Light" w:eastAsiaTheme="minorEastAsia" w:hAnsi="Invesco Interstate Light"/>
          <w:sz w:val="22"/>
          <w:szCs w:val="22"/>
          <w:lang w:eastAsia="de-DE"/>
        </w:rPr>
        <w:t>zpomalený</w:t>
      </w:r>
      <w:proofErr w:type="gramEnd"/>
      <w:r w:rsidRPr="00512C3F">
        <w:rPr>
          <w:rFonts w:ascii="Invesco Interstate Light" w:eastAsiaTheme="minorEastAsia" w:hAnsi="Invesco Interstate Light"/>
          <w:sz w:val="22"/>
          <w:szCs w:val="22"/>
          <w:lang w:eastAsia="de-DE"/>
        </w:rPr>
        <w:t xml:space="preserve"> a to především v důsledku faktorů souvisejících s COVID-19. Očekáváme však, že v druhé polovině roku 2022 dojde k opětovnému zrychlení ekonomiky, které bude poháněno měnovými a fiskálními stimuly, a následně k návratu k potenciálu.</w:t>
      </w:r>
    </w:p>
    <w:p w14:paraId="67E8D964" w14:textId="0B0C0A2A" w:rsidR="00512C3F" w:rsidRPr="00F87FC4" w:rsidRDefault="00512C3F" w:rsidP="00512C3F">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Inflační očekávání se zvyšují, ale v nejbližším období se soustředí na vyšší inflaci</w:t>
      </w:r>
    </w:p>
    <w:p w14:paraId="47DB6681" w14:textId="61237783" w:rsidR="00512C3F" w:rsidRDefault="00512C3F" w:rsidP="00512C3F">
      <w:pPr>
        <w:pStyle w:val="Normlnweb"/>
        <w:jc w:val="both"/>
        <w:rPr>
          <w:rFonts w:ascii="Invesco Interstate Light" w:eastAsiaTheme="minorEastAsia" w:hAnsi="Invesco Interstate Light"/>
          <w:sz w:val="22"/>
          <w:szCs w:val="22"/>
          <w:lang w:eastAsia="de-DE"/>
        </w:rPr>
      </w:pPr>
      <w:r w:rsidRPr="00512C3F">
        <w:rPr>
          <w:rFonts w:ascii="Invesco Interstate Light" w:eastAsiaTheme="minorEastAsia" w:hAnsi="Invesco Interstate Light"/>
          <w:sz w:val="22"/>
          <w:szCs w:val="22"/>
          <w:lang w:eastAsia="de-DE"/>
        </w:rPr>
        <w:t xml:space="preserve">V současné době se inflace pohybuje výrazně nad "komfortní zónou" </w:t>
      </w:r>
      <w:proofErr w:type="spellStart"/>
      <w:r w:rsidRPr="00512C3F">
        <w:rPr>
          <w:rFonts w:ascii="Invesco Interstate Light" w:eastAsiaTheme="minorEastAsia" w:hAnsi="Invesco Interstate Light"/>
          <w:sz w:val="22"/>
          <w:szCs w:val="22"/>
          <w:lang w:eastAsia="de-DE"/>
        </w:rPr>
        <w:t>Fedu</w:t>
      </w:r>
      <w:proofErr w:type="spellEnd"/>
      <w:r w:rsidRPr="00512C3F">
        <w:rPr>
          <w:rFonts w:ascii="Invesco Interstate Light" w:eastAsiaTheme="minorEastAsia" w:hAnsi="Invesco Interstate Light"/>
          <w:sz w:val="22"/>
          <w:szCs w:val="22"/>
          <w:lang w:eastAsia="de-DE"/>
        </w:rPr>
        <w:t xml:space="preserve"> a krátkodobá inflační očekávání jsou vysoká v USA, Velké Británii, Kanadě a eurozóně. Dlouhodobější inflační očekávání se však zdají být lépe ukotvena.</w:t>
      </w:r>
    </w:p>
    <w:p w14:paraId="09AAD46A" w14:textId="77777777" w:rsidR="00512C3F" w:rsidRPr="00512C3F" w:rsidRDefault="00512C3F" w:rsidP="00512C3F">
      <w:pPr>
        <w:pStyle w:val="Normlnweb"/>
        <w:jc w:val="both"/>
        <w:rPr>
          <w:rFonts w:ascii="Invesco Interstate Light" w:eastAsiaTheme="minorEastAsia" w:hAnsi="Invesco Interstate Light"/>
          <w:sz w:val="22"/>
          <w:szCs w:val="22"/>
          <w:lang w:eastAsia="de-DE"/>
        </w:rPr>
      </w:pPr>
      <w:r w:rsidRPr="00512C3F">
        <w:rPr>
          <w:rFonts w:ascii="Invesco Interstate Light" w:eastAsiaTheme="minorEastAsia" w:hAnsi="Invesco Interstate Light"/>
          <w:sz w:val="22"/>
          <w:szCs w:val="22"/>
          <w:lang w:eastAsia="de-DE"/>
        </w:rPr>
        <w:t>Povzbudivý je také historický pohled. Inflační očekávání ve Spojených státech před recesí v letech 1980 a 1991 byla zvýšená, jak pro období jednoho roku, tak pro 5-10 let dopředu.</w:t>
      </w:r>
      <w:r w:rsidRPr="00512C3F">
        <w:rPr>
          <w:rFonts w:ascii="Invesco Interstate Light" w:eastAsiaTheme="minorEastAsia" w:hAnsi="Invesco Interstate Light"/>
          <w:sz w:val="22"/>
          <w:szCs w:val="22"/>
          <w:vertAlign w:val="superscript"/>
          <w:lang w:eastAsia="de-DE"/>
        </w:rPr>
        <w:t>1</w:t>
      </w:r>
      <w:r w:rsidRPr="00512C3F">
        <w:rPr>
          <w:rFonts w:ascii="Invesco Interstate Light" w:eastAsiaTheme="minorEastAsia" w:hAnsi="Invesco Interstate Light"/>
          <w:sz w:val="22"/>
          <w:szCs w:val="22"/>
          <w:lang w:eastAsia="de-DE"/>
        </w:rPr>
        <w:t xml:space="preserve"> V současnosti tomu tak není, protože dlouhodobější inflační očekávání jsou výrazně nižší než krátkodobá inflační očekávání.</w:t>
      </w:r>
    </w:p>
    <w:p w14:paraId="2B2F88E3" w14:textId="1BC0CDE8" w:rsidR="00512C3F" w:rsidRPr="00F87FC4" w:rsidRDefault="00512C3F" w:rsidP="00512C3F">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Významný obrat měnové politiky</w:t>
      </w:r>
    </w:p>
    <w:p w14:paraId="1C41EED9" w14:textId="46F75245" w:rsidR="00512C3F" w:rsidRPr="00512C3F" w:rsidRDefault="000C0047" w:rsidP="00512C3F">
      <w:pPr>
        <w:pStyle w:val="Normlnweb"/>
        <w:jc w:val="both"/>
        <w:rPr>
          <w:rFonts w:ascii="Invesco Interstate Light" w:eastAsiaTheme="minorEastAsia" w:hAnsi="Invesco Interstate Light"/>
          <w:sz w:val="22"/>
          <w:szCs w:val="22"/>
          <w:lang w:eastAsia="de-DE"/>
        </w:rPr>
      </w:pPr>
      <w:r>
        <w:rPr>
          <w:rFonts w:ascii="Invesco Interstate Light" w:eastAsiaTheme="minorEastAsia" w:hAnsi="Invesco Interstate Light"/>
          <w:sz w:val="22"/>
          <w:szCs w:val="22"/>
          <w:lang w:eastAsia="de-DE"/>
        </w:rPr>
        <w:t>Očekávání v oblasti měnové politiky</w:t>
      </w:r>
      <w:r w:rsidR="007A7696">
        <w:rPr>
          <w:rFonts w:ascii="Invesco Interstate Light" w:eastAsiaTheme="minorEastAsia" w:hAnsi="Invesco Interstate Light"/>
          <w:sz w:val="22"/>
          <w:szCs w:val="22"/>
          <w:lang w:eastAsia="de-DE"/>
        </w:rPr>
        <w:t>,</w:t>
      </w:r>
      <w:r>
        <w:rPr>
          <w:rFonts w:ascii="Invesco Interstate Light" w:eastAsiaTheme="minorEastAsia" w:hAnsi="Invesco Interstate Light"/>
          <w:sz w:val="22"/>
          <w:szCs w:val="22"/>
          <w:lang w:eastAsia="de-DE"/>
        </w:rPr>
        <w:t xml:space="preserve"> v</w:t>
      </w:r>
      <w:r w:rsidR="00512C3F" w:rsidRPr="00512C3F">
        <w:rPr>
          <w:rFonts w:ascii="Invesco Interstate Light" w:eastAsiaTheme="minorEastAsia" w:hAnsi="Invesco Interstate Light"/>
          <w:sz w:val="22"/>
          <w:szCs w:val="22"/>
          <w:lang w:eastAsia="de-DE"/>
        </w:rPr>
        <w:t xml:space="preserve"> ostrém kontrastu s koncem roku 2021</w:t>
      </w:r>
      <w:r w:rsidR="007A7696">
        <w:rPr>
          <w:rFonts w:ascii="Invesco Interstate Light" w:eastAsiaTheme="minorEastAsia" w:hAnsi="Invesco Interstate Light"/>
          <w:sz w:val="22"/>
          <w:szCs w:val="22"/>
          <w:lang w:eastAsia="de-DE"/>
        </w:rPr>
        <w:t>,</w:t>
      </w:r>
      <w:r w:rsidR="00512C3F" w:rsidRPr="00512C3F">
        <w:rPr>
          <w:rFonts w:ascii="Invesco Interstate Light" w:eastAsiaTheme="minorEastAsia" w:hAnsi="Invesco Interstate Light"/>
          <w:sz w:val="22"/>
          <w:szCs w:val="22"/>
          <w:lang w:eastAsia="de-DE"/>
        </w:rPr>
        <w:t xml:space="preserve"> naznačují rychlé tempo zpřísňování měnové politiky hlavních vyspělých západních centrálních bank, ačkoli míra možného zpřísnění je přinejmenším částečně diktována stavem základní ekonomiky. </w:t>
      </w:r>
    </w:p>
    <w:p w14:paraId="1CD2555A" w14:textId="77777777" w:rsidR="000C0047" w:rsidRPr="000C0047" w:rsidRDefault="000C0047" w:rsidP="000C0047">
      <w:pPr>
        <w:pStyle w:val="Normlnweb"/>
        <w:jc w:val="both"/>
        <w:rPr>
          <w:rFonts w:ascii="Invesco Interstate Light" w:eastAsiaTheme="minorEastAsia" w:hAnsi="Invesco Interstate Light"/>
          <w:sz w:val="22"/>
          <w:szCs w:val="22"/>
          <w:lang w:eastAsia="de-DE"/>
        </w:rPr>
      </w:pPr>
      <w:r w:rsidRPr="000C0047">
        <w:rPr>
          <w:rFonts w:ascii="Invesco Interstate Light" w:eastAsiaTheme="minorEastAsia" w:hAnsi="Invesco Interstate Light"/>
          <w:sz w:val="22"/>
          <w:szCs w:val="22"/>
          <w:lang w:eastAsia="de-DE"/>
        </w:rPr>
        <w:t>V mnoha západních vyspělých ekonomikách jsme již byli svědky velmi výrazného zpřísnění finančních podmínek, neboť růst peněžní zásoby se zpomalil. Například ve Spojených státech vzrostly od začátku roku úrokové sazby hypoték o více než 200 bazických bodů.</w:t>
      </w:r>
    </w:p>
    <w:p w14:paraId="317A43E7" w14:textId="77777777" w:rsidR="000C0047" w:rsidRPr="000C0047" w:rsidRDefault="000C0047" w:rsidP="000C0047">
      <w:pPr>
        <w:pStyle w:val="Normlnweb"/>
        <w:jc w:val="both"/>
        <w:rPr>
          <w:rFonts w:ascii="Invesco Interstate Light" w:eastAsiaTheme="minorEastAsia" w:hAnsi="Invesco Interstate Light"/>
          <w:sz w:val="22"/>
          <w:szCs w:val="22"/>
          <w:lang w:eastAsia="de-DE"/>
        </w:rPr>
      </w:pPr>
      <w:r w:rsidRPr="000C0047">
        <w:rPr>
          <w:rFonts w:ascii="Invesco Interstate Light" w:eastAsiaTheme="minorEastAsia" w:hAnsi="Invesco Interstate Light"/>
          <w:sz w:val="22"/>
          <w:szCs w:val="22"/>
          <w:lang w:eastAsia="de-DE"/>
        </w:rPr>
        <w:t xml:space="preserve">Navzdory různým překážkám globálního růstu se však tvůrci politik zaměřují na řešení inflace. V případě </w:t>
      </w:r>
      <w:proofErr w:type="spellStart"/>
      <w:r w:rsidRPr="000C0047">
        <w:rPr>
          <w:rFonts w:ascii="Invesco Interstate Light" w:eastAsiaTheme="minorEastAsia" w:hAnsi="Invesco Interstate Light"/>
          <w:sz w:val="22"/>
          <w:szCs w:val="22"/>
          <w:lang w:eastAsia="de-DE"/>
        </w:rPr>
        <w:t>Fedu</w:t>
      </w:r>
      <w:proofErr w:type="spellEnd"/>
      <w:r w:rsidRPr="000C0047">
        <w:rPr>
          <w:rFonts w:ascii="Invesco Interstate Light" w:eastAsiaTheme="minorEastAsia" w:hAnsi="Invesco Interstate Light"/>
          <w:sz w:val="22"/>
          <w:szCs w:val="22"/>
          <w:lang w:eastAsia="de-DE"/>
        </w:rPr>
        <w:t xml:space="preserve"> vidíme cyklus zpřísňování, který je v souladu s tržním oceňováním. V důsledku toho očekáváme, že se celá výnosová křivka do konce roku zploští. Již nyní jsme svědky výrazného zpřísnění finančních podmínek a ztráty kupní síly v některých vyspělých ekonomikách, což by mělo přispět k ochlazení poptávky.</w:t>
      </w:r>
    </w:p>
    <w:p w14:paraId="28ACD66D" w14:textId="77777777" w:rsidR="00512C3F" w:rsidRPr="00512C3F" w:rsidRDefault="00512C3F" w:rsidP="00512C3F">
      <w:pPr>
        <w:pStyle w:val="Normlnweb"/>
        <w:jc w:val="both"/>
        <w:rPr>
          <w:rFonts w:ascii="Invesco Interstate Light" w:eastAsiaTheme="minorEastAsia" w:hAnsi="Invesco Interstate Light"/>
          <w:sz w:val="22"/>
          <w:szCs w:val="22"/>
          <w:lang w:eastAsia="de-DE"/>
        </w:rPr>
      </w:pPr>
    </w:p>
    <w:p w14:paraId="0F5692C9" w14:textId="0AE27F6E" w:rsidR="000C0047" w:rsidRPr="00F87FC4" w:rsidRDefault="000C0047" w:rsidP="000C0047">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lastRenderedPageBreak/>
        <w:t>Zpomalování západních vyspělých ekonomik</w:t>
      </w:r>
    </w:p>
    <w:p w14:paraId="4C2DFCAC" w14:textId="77777777" w:rsidR="000C0047" w:rsidRPr="000C0047" w:rsidRDefault="000C0047" w:rsidP="000C0047">
      <w:pPr>
        <w:pStyle w:val="Normlnweb"/>
        <w:jc w:val="both"/>
        <w:rPr>
          <w:rFonts w:ascii="Invesco Interstate Light" w:eastAsiaTheme="minorEastAsia" w:hAnsi="Invesco Interstate Light"/>
          <w:sz w:val="22"/>
          <w:szCs w:val="22"/>
          <w:lang w:eastAsia="de-DE"/>
        </w:rPr>
      </w:pPr>
      <w:r w:rsidRPr="000C0047">
        <w:rPr>
          <w:rFonts w:ascii="Invesco Interstate Light" w:eastAsiaTheme="minorEastAsia" w:hAnsi="Invesco Interstate Light"/>
          <w:sz w:val="22"/>
          <w:szCs w:val="22"/>
          <w:lang w:eastAsia="de-DE"/>
        </w:rPr>
        <w:t>Většina západních vyspělých ekonomik již vykazuje známky výrazného zpomalení. Například indexy nákupních manažerů (PMI) v USA i v eurozóně zaznamenaly od května do června výrazný pokles. Domníváme se, že pravděpodobnost recese je v eurozóně vyšší než v USA, a to vzhledem k vysokým cenám energií, které jsou měnovou politikou obtížněji ovlivnitelné.</w:t>
      </w:r>
    </w:p>
    <w:p w14:paraId="6BCE65A5" w14:textId="1B46EEF7" w:rsidR="000C0047" w:rsidRPr="000C0047" w:rsidRDefault="000C0047" w:rsidP="000C0047">
      <w:pPr>
        <w:pStyle w:val="Normlnweb"/>
        <w:jc w:val="both"/>
        <w:rPr>
          <w:rFonts w:ascii="Invesco Interstate Light" w:eastAsiaTheme="minorEastAsia" w:hAnsi="Invesco Interstate Light"/>
          <w:sz w:val="22"/>
          <w:szCs w:val="22"/>
          <w:lang w:eastAsia="de-DE"/>
        </w:rPr>
      </w:pPr>
      <w:r w:rsidRPr="000C0047">
        <w:rPr>
          <w:rFonts w:ascii="Invesco Interstate Light" w:eastAsiaTheme="minorEastAsia" w:hAnsi="Invesco Interstate Light"/>
          <w:sz w:val="22"/>
          <w:szCs w:val="22"/>
          <w:lang w:eastAsia="de-DE"/>
        </w:rPr>
        <w:t>Ačkoli agresivnější zpřísňování zvyšuje pravděpodobnost recese v USA, stále se domníváme, že Fed má potenciál provést "měkké přistání". Mezi faktory, které by měly pomoci, patří napjatý trh práce s</w:t>
      </w:r>
      <w:r w:rsidR="00667ECA">
        <w:rPr>
          <w:rFonts w:ascii="Invesco Interstate Light" w:eastAsiaTheme="minorEastAsia" w:hAnsi="Invesco Interstate Light"/>
          <w:sz w:val="22"/>
          <w:szCs w:val="22"/>
          <w:lang w:eastAsia="de-DE"/>
        </w:rPr>
        <w:t> </w:t>
      </w:r>
      <w:r w:rsidRPr="000C0047">
        <w:rPr>
          <w:rFonts w:ascii="Invesco Interstate Light" w:eastAsiaTheme="minorEastAsia" w:hAnsi="Invesco Interstate Light"/>
          <w:sz w:val="22"/>
          <w:szCs w:val="22"/>
          <w:lang w:eastAsia="de-DE"/>
        </w:rPr>
        <w:t>vysok</w:t>
      </w:r>
      <w:r w:rsidR="00667ECA">
        <w:rPr>
          <w:rFonts w:ascii="Invesco Interstate Light" w:eastAsiaTheme="minorEastAsia" w:hAnsi="Invesco Interstate Light"/>
          <w:sz w:val="22"/>
          <w:szCs w:val="22"/>
          <w:lang w:eastAsia="de-DE"/>
        </w:rPr>
        <w:t>ým počtem</w:t>
      </w:r>
      <w:r w:rsidRPr="000C0047">
        <w:rPr>
          <w:rFonts w:ascii="Invesco Interstate Light" w:eastAsiaTheme="minorEastAsia" w:hAnsi="Invesco Interstate Light"/>
          <w:sz w:val="22"/>
          <w:szCs w:val="22"/>
          <w:lang w:eastAsia="de-DE"/>
        </w:rPr>
        <w:t xml:space="preserve"> volných pracovních míst, která mohou být snížena místo některých propouštění, a také závazek </w:t>
      </w:r>
      <w:proofErr w:type="spellStart"/>
      <w:r w:rsidRPr="000C0047">
        <w:rPr>
          <w:rFonts w:ascii="Invesco Interstate Light" w:eastAsiaTheme="minorEastAsia" w:hAnsi="Invesco Interstate Light"/>
          <w:sz w:val="22"/>
          <w:szCs w:val="22"/>
          <w:lang w:eastAsia="de-DE"/>
        </w:rPr>
        <w:t>Fedu</w:t>
      </w:r>
      <w:proofErr w:type="spellEnd"/>
      <w:r w:rsidRPr="000C0047">
        <w:rPr>
          <w:rFonts w:ascii="Invesco Interstate Light" w:eastAsiaTheme="minorEastAsia" w:hAnsi="Invesco Interstate Light"/>
          <w:sz w:val="22"/>
          <w:szCs w:val="22"/>
          <w:lang w:eastAsia="de-DE"/>
        </w:rPr>
        <w:t xml:space="preserve"> být závislý na datech.</w:t>
      </w:r>
    </w:p>
    <w:p w14:paraId="49E90002" w14:textId="055760DE" w:rsidR="000C0047" w:rsidRPr="00F87FC4" w:rsidRDefault="000C0047" w:rsidP="000C0047">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Růst ve druhé polovině roku 2022 se v Číně pravděpodobně opět zrychlí</w:t>
      </w:r>
    </w:p>
    <w:p w14:paraId="1E79F30B" w14:textId="2A55E5B1" w:rsidR="000C0047" w:rsidRPr="000C0047" w:rsidRDefault="000C0047" w:rsidP="000C0047">
      <w:pPr>
        <w:pStyle w:val="Normlnweb"/>
        <w:jc w:val="both"/>
        <w:rPr>
          <w:rFonts w:ascii="Invesco Interstate Light" w:eastAsiaTheme="minorEastAsia" w:hAnsi="Invesco Interstate Light"/>
          <w:sz w:val="22"/>
          <w:szCs w:val="22"/>
          <w:lang w:eastAsia="de-DE"/>
        </w:rPr>
      </w:pPr>
      <w:r w:rsidRPr="000C0047">
        <w:rPr>
          <w:rFonts w:ascii="Invesco Interstate Light" w:eastAsiaTheme="minorEastAsia" w:hAnsi="Invesco Interstate Light"/>
          <w:sz w:val="22"/>
          <w:szCs w:val="22"/>
          <w:lang w:eastAsia="de-DE"/>
        </w:rPr>
        <w:t xml:space="preserve">Lockdowny související s </w:t>
      </w:r>
      <w:proofErr w:type="spellStart"/>
      <w:r w:rsidRPr="000C0047">
        <w:rPr>
          <w:rFonts w:ascii="Invesco Interstate Light" w:eastAsiaTheme="minorEastAsia" w:hAnsi="Invesco Interstate Light"/>
          <w:sz w:val="22"/>
          <w:szCs w:val="22"/>
          <w:lang w:eastAsia="de-DE"/>
        </w:rPr>
        <w:t>COVIDem</w:t>
      </w:r>
      <w:proofErr w:type="spellEnd"/>
      <w:r w:rsidRPr="000C0047">
        <w:rPr>
          <w:rFonts w:ascii="Invesco Interstate Light" w:eastAsiaTheme="minorEastAsia" w:hAnsi="Invesco Interstate Light"/>
          <w:sz w:val="22"/>
          <w:szCs w:val="22"/>
          <w:lang w:eastAsia="de-DE"/>
        </w:rPr>
        <w:t xml:space="preserve"> v Číně s sebou přinesly nové výzvy pro růst. Zatímco v první polovině roku 2022 jsme byli svědky značných hospodářských překážek, ve druhé polovině roku očekáváme oživení, kterému napomůže kombinace fiskálních a měnově</w:t>
      </w:r>
      <w:r w:rsidR="00042E58">
        <w:rPr>
          <w:rFonts w:ascii="Invesco Interstate Light" w:eastAsiaTheme="minorEastAsia" w:hAnsi="Invesco Interstate Light"/>
          <w:sz w:val="22"/>
          <w:szCs w:val="22"/>
          <w:lang w:eastAsia="de-DE"/>
        </w:rPr>
        <w:t xml:space="preserve"> </w:t>
      </w:r>
      <w:r w:rsidRPr="000C0047">
        <w:rPr>
          <w:rFonts w:ascii="Invesco Interstate Light" w:eastAsiaTheme="minorEastAsia" w:hAnsi="Invesco Interstate Light"/>
          <w:sz w:val="22"/>
          <w:szCs w:val="22"/>
          <w:lang w:eastAsia="de-DE"/>
        </w:rPr>
        <w:t>politických stimulů. To je v kontrastu s mnoha západními vyspělými trhy, které stimuly omezují.</w:t>
      </w:r>
    </w:p>
    <w:p w14:paraId="4E2E3CC8" w14:textId="3FB89963" w:rsidR="00042E58" w:rsidRPr="00F87FC4" w:rsidRDefault="00042E58" w:rsidP="00042E58">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Důsledky pro třídu aktiv</w:t>
      </w:r>
    </w:p>
    <w:p w14:paraId="705A9847" w14:textId="77777777" w:rsidR="00042E58" w:rsidRPr="00042E58" w:rsidRDefault="00042E58" w:rsidP="00042E58">
      <w:pPr>
        <w:pStyle w:val="Normlnweb"/>
        <w:jc w:val="both"/>
        <w:rPr>
          <w:rFonts w:ascii="Invesco Interstate Light" w:eastAsiaTheme="minorEastAsia" w:hAnsi="Invesco Interstate Light"/>
          <w:sz w:val="22"/>
          <w:szCs w:val="22"/>
          <w:lang w:eastAsia="de-DE"/>
        </w:rPr>
      </w:pPr>
      <w:r w:rsidRPr="00042E58">
        <w:rPr>
          <w:rFonts w:ascii="Invesco Interstate Light" w:eastAsiaTheme="minorEastAsia" w:hAnsi="Invesco Interstate Light"/>
          <w:sz w:val="22"/>
          <w:szCs w:val="22"/>
          <w:lang w:eastAsia="de-DE"/>
        </w:rPr>
        <w:t xml:space="preserve">Domníváme se, že neutrální rizikový postoj ve vztahu k benchmarku je vhodný. Vzhledem k tomu, že očekáváme globální zpomalení, předpokládáme mírné kladné výnosy s malým rozptylem výkonnosti mezi investičními nástroji s pevným výnosem a akciemi. V tomto prostředí dáváme přednost mírnému </w:t>
      </w:r>
      <w:proofErr w:type="spellStart"/>
      <w:r w:rsidRPr="00042E58">
        <w:rPr>
          <w:rFonts w:ascii="Invesco Interstate Light" w:eastAsiaTheme="minorEastAsia" w:hAnsi="Invesco Interstate Light"/>
          <w:sz w:val="22"/>
          <w:szCs w:val="22"/>
          <w:lang w:eastAsia="de-DE"/>
        </w:rPr>
        <w:t>nadvážení</w:t>
      </w:r>
      <w:proofErr w:type="spellEnd"/>
      <w:r w:rsidRPr="00042E58">
        <w:rPr>
          <w:rFonts w:ascii="Invesco Interstate Light" w:eastAsiaTheme="minorEastAsia" w:hAnsi="Invesco Interstate Light"/>
          <w:sz w:val="22"/>
          <w:szCs w:val="22"/>
          <w:lang w:eastAsia="de-DE"/>
        </w:rPr>
        <w:t xml:space="preserve"> akcií ve srovnání s nástroji s pevným výnosem, přičemž akciová expozice by měla být orientována na defenzivní sektory a kvalitní akcie a akcie s nízkou volatilitou. Upřednostňujeme USA před rozvinutými trhy mimo USA, ale relativně stejně vážíme jak rozvinuté trhy, tak rozvíjející se trhy. V rámci pevného příjmu preferujeme kvalitní úvěry a jsme neutrální ohledně durace. Specifickými oblastmi potenciálních příležitostí jsou investiční dluhopisy s pevnou úrokovou sazbou a komunální dluhopisy. V rámci alternativních nástrojů preferujeme energie, nemovitosti s přidanou hodnotou a infrastrukturu zahrnující zejména brownfieldy.</w:t>
      </w:r>
    </w:p>
    <w:p w14:paraId="5CDA098F" w14:textId="3FAB02EF" w:rsidR="00042E58" w:rsidRPr="00F87FC4" w:rsidRDefault="00042E58" w:rsidP="00042E58">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Alternativní scénáře</w:t>
      </w:r>
    </w:p>
    <w:p w14:paraId="6F19B316" w14:textId="1248EA23" w:rsidR="00042E58" w:rsidRPr="00042E58" w:rsidRDefault="00042E58" w:rsidP="00042E58">
      <w:pPr>
        <w:spacing w:line="240" w:lineRule="auto"/>
        <w:rPr>
          <w:rFonts w:ascii="Invesco Interstate Light" w:eastAsiaTheme="minorEastAsia" w:hAnsi="Invesco Interstate Light"/>
          <w:sz w:val="22"/>
          <w:szCs w:val="22"/>
        </w:rPr>
      </w:pPr>
      <w:r w:rsidRPr="00042E58">
        <w:rPr>
          <w:rFonts w:ascii="Invesco Interstate Light" w:eastAsiaTheme="minorEastAsia" w:hAnsi="Invesco Interstate Light"/>
          <w:sz w:val="22"/>
          <w:szCs w:val="22"/>
        </w:rPr>
        <w:t>Zmínila jsem se také o dvou alternativních scénářích</w:t>
      </w:r>
      <w:r w:rsidR="00667ECA">
        <w:rPr>
          <w:rFonts w:ascii="Invesco Interstate Light" w:eastAsiaTheme="minorEastAsia" w:hAnsi="Invesco Interstate Light"/>
          <w:sz w:val="22"/>
          <w:szCs w:val="22"/>
        </w:rPr>
        <w:t>,</w:t>
      </w:r>
      <w:r w:rsidRPr="00042E58">
        <w:rPr>
          <w:rFonts w:ascii="Invesco Interstate Light" w:eastAsiaTheme="minorEastAsia" w:hAnsi="Invesco Interstate Light"/>
          <w:sz w:val="22"/>
          <w:szCs w:val="22"/>
        </w:rPr>
        <w:t xml:space="preserve"> kterým se budu stručně věnovat níže:</w:t>
      </w:r>
    </w:p>
    <w:p w14:paraId="48EDFE45" w14:textId="77777777" w:rsidR="006820EC" w:rsidRDefault="006820EC" w:rsidP="006820EC">
      <w:pPr>
        <w:pStyle w:val="Odstavecseseznamem"/>
        <w:numPr>
          <w:ilvl w:val="0"/>
          <w:numId w:val="20"/>
        </w:num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Scénář odpojení ruské energetiky</w:t>
      </w:r>
    </w:p>
    <w:p w14:paraId="521C4021" w14:textId="275FCE40" w:rsidR="006820EC" w:rsidRPr="006820EC" w:rsidRDefault="006820EC" w:rsidP="006820EC">
      <w:pPr>
        <w:spacing w:before="100" w:beforeAutospacing="1" w:after="100" w:afterAutospacing="1" w:line="266" w:lineRule="atLeast"/>
        <w:jc w:val="both"/>
        <w:outlineLvl w:val="0"/>
        <w:rPr>
          <w:rFonts w:ascii="Invesco Interstate Light" w:eastAsiaTheme="minorEastAsia" w:hAnsi="Invesco Interstate Light"/>
          <w:sz w:val="22"/>
          <w:szCs w:val="22"/>
        </w:rPr>
      </w:pPr>
      <w:r w:rsidRPr="006820EC">
        <w:rPr>
          <w:rFonts w:ascii="Invesco Interstate Light" w:eastAsiaTheme="minorEastAsia" w:hAnsi="Invesco Interstate Light"/>
          <w:sz w:val="22"/>
          <w:szCs w:val="22"/>
        </w:rPr>
        <w:t>V tomto scénáři svět zažije energetický šok v důsledku ruského embarga nebo evropského bojkotu obchodu s energiemi, což povede k výrazně vyšší inflaci, zejména v Evropě.</w:t>
      </w:r>
    </w:p>
    <w:p w14:paraId="0A2A030D" w14:textId="55CEFEC6" w:rsidR="00657939" w:rsidRPr="006820EC" w:rsidRDefault="006820EC" w:rsidP="00657939">
      <w:pPr>
        <w:pStyle w:val="Normlnweb"/>
        <w:jc w:val="both"/>
        <w:rPr>
          <w:rFonts w:ascii="Invesco Interstate Light" w:eastAsiaTheme="minorEastAsia" w:hAnsi="Invesco Interstate Light"/>
          <w:sz w:val="22"/>
          <w:szCs w:val="22"/>
          <w:lang w:eastAsia="de-DE"/>
        </w:rPr>
      </w:pPr>
      <w:r w:rsidRPr="006820EC">
        <w:rPr>
          <w:rFonts w:ascii="Invesco Interstate Light" w:eastAsiaTheme="minorEastAsia" w:hAnsi="Invesco Interstate Light"/>
          <w:sz w:val="22"/>
          <w:szCs w:val="22"/>
          <w:lang w:eastAsia="de-DE"/>
        </w:rPr>
        <w:t>Předpokládáme, že tento scénář by vedl ke stagflaci v Evropě a zakousl by se do reálných příjmů na celém světě, což by mělo za následek celkově nižší globální růst.</w:t>
      </w:r>
    </w:p>
    <w:p w14:paraId="222BB1D6" w14:textId="77777777" w:rsidR="00657939" w:rsidRPr="00657939" w:rsidRDefault="00657939" w:rsidP="00657939">
      <w:pPr>
        <w:pStyle w:val="Normlnweb"/>
        <w:rPr>
          <w:rFonts w:ascii="Invesco Interstate Bold" w:eastAsia="Times New Roman" w:hAnsi="Invesco Interstate Bold"/>
          <w:b/>
          <w:bCs/>
          <w:lang w:eastAsia="de-DE"/>
        </w:rPr>
      </w:pPr>
    </w:p>
    <w:p w14:paraId="1CF6CE19" w14:textId="6AC8DDD7" w:rsidR="006820EC" w:rsidRDefault="00FF694B" w:rsidP="006820EC">
      <w:pPr>
        <w:spacing w:line="240" w:lineRule="auto"/>
        <w:jc w:val="both"/>
        <w:rPr>
          <w:rFonts w:ascii="Invesco Interstate Light" w:eastAsiaTheme="minorEastAsia" w:hAnsi="Invesco Interstate Light"/>
          <w:sz w:val="22"/>
          <w:szCs w:val="22"/>
        </w:rPr>
      </w:pPr>
      <w:r>
        <w:rPr>
          <w:rFonts w:ascii="Invesco Interstate Bold" w:hAnsi="Invesco Interstate Bold"/>
          <w:b/>
          <w:bCs/>
          <w:sz w:val="24"/>
          <w:szCs w:val="24"/>
        </w:rPr>
        <w:lastRenderedPageBreak/>
        <w:br/>
      </w:r>
      <w:r w:rsidR="006820EC" w:rsidRPr="006820EC">
        <w:rPr>
          <w:rFonts w:ascii="Invesco Interstate Light" w:eastAsiaTheme="minorEastAsia" w:hAnsi="Invesco Interstate Light"/>
          <w:sz w:val="22"/>
          <w:szCs w:val="22"/>
        </w:rPr>
        <w:t xml:space="preserve">Pokud jde o dopady na třídy aktiv, předpokládáme prostředí, kdy obchodníci a investoři na finančním trhu snižují svou expozici vůči riziku a zaměřují se na ochranu svého kapitálu. Preferujeme </w:t>
      </w:r>
      <w:proofErr w:type="spellStart"/>
      <w:r w:rsidR="006820EC" w:rsidRPr="006820EC">
        <w:rPr>
          <w:rFonts w:ascii="Invesco Interstate Light" w:eastAsiaTheme="minorEastAsia" w:hAnsi="Invesco Interstate Light"/>
          <w:sz w:val="22"/>
          <w:szCs w:val="22"/>
        </w:rPr>
        <w:t>podvážení</w:t>
      </w:r>
      <w:proofErr w:type="spellEnd"/>
      <w:r w:rsidR="006820EC" w:rsidRPr="006820EC">
        <w:rPr>
          <w:rFonts w:ascii="Invesco Interstate Light" w:eastAsiaTheme="minorEastAsia" w:hAnsi="Invesco Interstate Light"/>
          <w:sz w:val="22"/>
          <w:szCs w:val="22"/>
        </w:rPr>
        <w:t xml:space="preserve"> rizikových aktiv ve srovnání s benchmarkem. Vzhledem k většímu negativnímu dopadu na růst bychom upřednostnili </w:t>
      </w:r>
      <w:proofErr w:type="spellStart"/>
      <w:r w:rsidR="006820EC" w:rsidRPr="006820EC">
        <w:rPr>
          <w:rFonts w:ascii="Invesco Interstate Light" w:eastAsiaTheme="minorEastAsia" w:hAnsi="Invesco Interstate Light"/>
          <w:sz w:val="22"/>
          <w:szCs w:val="22"/>
        </w:rPr>
        <w:t>podvážení</w:t>
      </w:r>
      <w:proofErr w:type="spellEnd"/>
      <w:r w:rsidR="006820EC" w:rsidRPr="006820EC">
        <w:rPr>
          <w:rFonts w:ascii="Invesco Interstate Light" w:eastAsiaTheme="minorEastAsia" w:hAnsi="Invesco Interstate Light"/>
          <w:sz w:val="22"/>
          <w:szCs w:val="22"/>
        </w:rPr>
        <w:t xml:space="preserve"> cyklických sektorů s výjimkou energetiky. Upřednostnili bychom USA před rozvinutými trhy mimo USA a také rozvinuté trhy před rozvíjejícími se trhy. Navzdory vyšší míře inflace může mít tento energetický šok negativní dopad na růst, což by mohlo omezit růst výnosů dluhopisů. Vysoce kvalitní úvěry by v tomto scénáři mohly představovat relativně atraktivní investici. U alternativ bychom upřednostnili vysoce kvalitní nemovitosti. Obecně bychom v tomto scénáři upřednostňovali likvidnější a defenzivnější části trhu. </w:t>
      </w:r>
    </w:p>
    <w:p w14:paraId="0AAF7F8A" w14:textId="4FB1A5D3" w:rsidR="006820EC" w:rsidRPr="006820EC" w:rsidRDefault="006820EC" w:rsidP="006820EC">
      <w:pPr>
        <w:pStyle w:val="Odstavecseseznamem"/>
        <w:numPr>
          <w:ilvl w:val="0"/>
          <w:numId w:val="20"/>
        </w:numPr>
        <w:spacing w:before="100" w:beforeAutospacing="1" w:after="100" w:afterAutospacing="1" w:line="266" w:lineRule="atLeast"/>
        <w:jc w:val="both"/>
        <w:outlineLvl w:val="0"/>
        <w:rPr>
          <w:rFonts w:ascii="Invesco Interstate Bold" w:hAnsi="Invesco Interstate Bold"/>
          <w:b/>
          <w:bCs/>
          <w:sz w:val="24"/>
          <w:szCs w:val="24"/>
        </w:rPr>
      </w:pPr>
      <w:r w:rsidRPr="006820EC">
        <w:rPr>
          <w:rFonts w:ascii="Invesco Interstate Bold" w:hAnsi="Invesco Interstate Bold"/>
          <w:b/>
          <w:bCs/>
          <w:sz w:val="24"/>
          <w:szCs w:val="24"/>
        </w:rPr>
        <w:t xml:space="preserve">Scénář </w:t>
      </w:r>
      <w:r>
        <w:rPr>
          <w:rFonts w:ascii="Invesco Interstate Bold" w:hAnsi="Invesco Interstate Bold"/>
          <w:b/>
          <w:bCs/>
          <w:sz w:val="24"/>
          <w:szCs w:val="24"/>
        </w:rPr>
        <w:t>lepší válečné prognózy</w:t>
      </w:r>
    </w:p>
    <w:p w14:paraId="3CEDD274" w14:textId="52A14B27" w:rsidR="006820EC" w:rsidRDefault="006820EC" w:rsidP="006820EC">
      <w:pPr>
        <w:spacing w:line="240" w:lineRule="auto"/>
        <w:jc w:val="both"/>
        <w:rPr>
          <w:rFonts w:ascii="Invesco Interstate Light" w:eastAsiaTheme="minorEastAsia" w:hAnsi="Invesco Interstate Light"/>
          <w:sz w:val="22"/>
          <w:szCs w:val="22"/>
        </w:rPr>
      </w:pPr>
      <w:r w:rsidRPr="006820EC">
        <w:rPr>
          <w:rFonts w:ascii="Invesco Interstate Light" w:eastAsiaTheme="minorEastAsia" w:hAnsi="Invesco Interstate Light"/>
          <w:sz w:val="22"/>
          <w:szCs w:val="22"/>
        </w:rPr>
        <w:t>V tomto scénáři překvapivá deeskalace nepřátelských akcí téměř eliminuje riziko embarga nebo bojkotu ruských energií, což následně snižuje stávající prémii za geopolitické riziko v cenách energií a dalších klíčových komodit. Očekávali bychom, že tento scénář přinese celkově vyšší růst, ale rozšíří možnost centrálních bank zpřísnit měnovou politiku na celém světě, protože budou existovat menší obavy z pádu ekonomik do recese.</w:t>
      </w:r>
    </w:p>
    <w:p w14:paraId="10CD0577" w14:textId="24576818" w:rsidR="00E06975" w:rsidRDefault="00E06975" w:rsidP="006820EC">
      <w:pPr>
        <w:spacing w:line="240" w:lineRule="auto"/>
        <w:jc w:val="both"/>
        <w:rPr>
          <w:rFonts w:ascii="Invesco Interstate Light" w:eastAsiaTheme="minorEastAsia" w:hAnsi="Invesco Interstate Light"/>
          <w:sz w:val="22"/>
          <w:szCs w:val="22"/>
        </w:rPr>
      </w:pPr>
    </w:p>
    <w:p w14:paraId="077F0800" w14:textId="77777777" w:rsidR="00E06975" w:rsidRPr="00E06975" w:rsidRDefault="00E06975" w:rsidP="00E06975">
      <w:pPr>
        <w:spacing w:line="240" w:lineRule="auto"/>
        <w:jc w:val="both"/>
        <w:rPr>
          <w:rFonts w:ascii="Invesco Interstate Light" w:eastAsiaTheme="minorEastAsia" w:hAnsi="Invesco Interstate Light"/>
          <w:sz w:val="22"/>
          <w:szCs w:val="22"/>
        </w:rPr>
      </w:pPr>
      <w:r w:rsidRPr="00E06975">
        <w:rPr>
          <w:rFonts w:ascii="Invesco Interstate Light" w:eastAsiaTheme="minorEastAsia" w:hAnsi="Invesco Interstate Light"/>
          <w:sz w:val="22"/>
          <w:szCs w:val="22"/>
        </w:rPr>
        <w:t>V tomto scénáři bychom upřednostnili převážení rizikových aktiv ve srovnání s referenční hodnotou. Očekávali bychom, že opětovné zrychlení růstu povede k vyšším výnosům dluhopisů, a preferovali bychom rizikovější úvěry s kratší durací. U alternativních aktiv bychom preferovali rizikovější třídy aktiv, jako jsou například odkupy s využitím pákového efektu. Obecně bychom v tomto scénáři preferovali rizikovější části trhu.</w:t>
      </w:r>
    </w:p>
    <w:p w14:paraId="718133EA" w14:textId="77777777" w:rsidR="00E06975" w:rsidRDefault="00E06975" w:rsidP="00E06975">
      <w:pPr>
        <w:spacing w:line="240" w:lineRule="auto"/>
        <w:rPr>
          <w:rFonts w:ascii="Arial" w:hAnsi="Arial" w:cs="Arial"/>
          <w:color w:val="000000"/>
        </w:rPr>
      </w:pPr>
    </w:p>
    <w:p w14:paraId="04B1913F" w14:textId="77777777" w:rsidR="00E06975" w:rsidRPr="00E06975" w:rsidRDefault="00E06975" w:rsidP="00E06975">
      <w:pPr>
        <w:pStyle w:val="Normlnweb"/>
        <w:spacing w:beforeAutospacing="0" w:afterAutospacing="0"/>
        <w:rPr>
          <w:rFonts w:ascii="Invesco Interstate Light" w:eastAsiaTheme="minorEastAsia" w:hAnsi="Invesco Interstate Light"/>
          <w:i/>
          <w:iCs/>
          <w:sz w:val="22"/>
          <w:szCs w:val="22"/>
          <w:lang w:eastAsia="de-DE"/>
        </w:rPr>
      </w:pPr>
      <w:r w:rsidRPr="00E06975">
        <w:rPr>
          <w:rFonts w:ascii="Invesco Interstate Light" w:eastAsiaTheme="minorEastAsia" w:hAnsi="Invesco Interstate Light"/>
          <w:i/>
          <w:iCs/>
          <w:sz w:val="22"/>
          <w:szCs w:val="22"/>
          <w:lang w:eastAsia="de-DE"/>
        </w:rPr>
        <w:t xml:space="preserve">S přispěním </w:t>
      </w:r>
    </w:p>
    <w:p w14:paraId="2B1DCD78" w14:textId="77777777" w:rsidR="00E06975" w:rsidRPr="00E06975" w:rsidRDefault="00E06975" w:rsidP="00E06975">
      <w:pPr>
        <w:pStyle w:val="Normlnweb"/>
        <w:spacing w:beforeAutospacing="0" w:afterAutospacing="0"/>
        <w:rPr>
          <w:rFonts w:ascii="Invesco Interstate Light" w:eastAsiaTheme="minorEastAsia" w:hAnsi="Invesco Interstate Light"/>
          <w:i/>
          <w:iCs/>
          <w:sz w:val="22"/>
          <w:szCs w:val="22"/>
          <w:lang w:eastAsia="de-DE"/>
        </w:rPr>
      </w:pPr>
      <w:r w:rsidRPr="00E06975">
        <w:rPr>
          <w:rFonts w:ascii="Invesco Interstate Light" w:eastAsiaTheme="minorEastAsia" w:hAnsi="Invesco Interstate Light"/>
          <w:i/>
          <w:iCs/>
          <w:sz w:val="22"/>
          <w:szCs w:val="22"/>
          <w:lang w:eastAsia="de-DE"/>
        </w:rPr>
        <w:t xml:space="preserve">Rob </w:t>
      </w:r>
      <w:proofErr w:type="spellStart"/>
      <w:r w:rsidRPr="00E06975">
        <w:rPr>
          <w:rFonts w:ascii="Invesco Interstate Light" w:eastAsiaTheme="minorEastAsia" w:hAnsi="Invesco Interstate Light"/>
          <w:i/>
          <w:iCs/>
          <w:sz w:val="22"/>
          <w:szCs w:val="22"/>
          <w:lang w:eastAsia="de-DE"/>
        </w:rPr>
        <w:t>Waldner</w:t>
      </w:r>
      <w:proofErr w:type="spellEnd"/>
      <w:r w:rsidRPr="00E06975">
        <w:rPr>
          <w:rFonts w:ascii="Invesco Interstate Light" w:eastAsiaTheme="minorEastAsia" w:hAnsi="Invesco Interstate Light"/>
          <w:i/>
          <w:iCs/>
          <w:sz w:val="22"/>
          <w:szCs w:val="22"/>
          <w:lang w:eastAsia="de-DE"/>
        </w:rPr>
        <w:t xml:space="preserve">, </w:t>
      </w:r>
      <w:proofErr w:type="spellStart"/>
      <w:r w:rsidRPr="00E06975">
        <w:rPr>
          <w:rFonts w:ascii="Invesco Interstate Light" w:eastAsiaTheme="minorEastAsia" w:hAnsi="Invesco Interstate Light"/>
          <w:i/>
          <w:iCs/>
          <w:sz w:val="22"/>
          <w:szCs w:val="22"/>
          <w:lang w:eastAsia="de-DE"/>
        </w:rPr>
        <w:t>Chief</w:t>
      </w:r>
      <w:proofErr w:type="spellEnd"/>
      <w:r w:rsidRPr="00E06975">
        <w:rPr>
          <w:rFonts w:ascii="Invesco Interstate Light" w:eastAsiaTheme="minorEastAsia" w:hAnsi="Invesco Interstate Light"/>
          <w:i/>
          <w:iCs/>
          <w:sz w:val="22"/>
          <w:szCs w:val="22"/>
          <w:lang w:eastAsia="de-DE"/>
        </w:rPr>
        <w:t xml:space="preserve"> </w:t>
      </w:r>
      <w:proofErr w:type="spellStart"/>
      <w:r w:rsidRPr="00E06975">
        <w:rPr>
          <w:rFonts w:ascii="Invesco Interstate Light" w:eastAsiaTheme="minorEastAsia" w:hAnsi="Invesco Interstate Light"/>
          <w:i/>
          <w:iCs/>
          <w:sz w:val="22"/>
          <w:szCs w:val="22"/>
          <w:lang w:eastAsia="de-DE"/>
        </w:rPr>
        <w:t>Strategist</w:t>
      </w:r>
      <w:proofErr w:type="spellEnd"/>
      <w:r w:rsidRPr="00E06975">
        <w:rPr>
          <w:rFonts w:ascii="Invesco Interstate Light" w:eastAsiaTheme="minorEastAsia" w:hAnsi="Invesco Interstate Light"/>
          <w:i/>
          <w:iCs/>
          <w:sz w:val="22"/>
          <w:szCs w:val="22"/>
          <w:lang w:eastAsia="de-DE"/>
        </w:rPr>
        <w:t xml:space="preserve"> and </w:t>
      </w:r>
      <w:proofErr w:type="spellStart"/>
      <w:r w:rsidRPr="00E06975">
        <w:rPr>
          <w:rFonts w:ascii="Invesco Interstate Light" w:eastAsiaTheme="minorEastAsia" w:hAnsi="Invesco Interstate Light"/>
          <w:i/>
          <w:iCs/>
          <w:sz w:val="22"/>
          <w:szCs w:val="22"/>
          <w:lang w:eastAsia="de-DE"/>
        </w:rPr>
        <w:t>Head</w:t>
      </w:r>
      <w:proofErr w:type="spellEnd"/>
      <w:r w:rsidRPr="00E06975">
        <w:rPr>
          <w:rFonts w:ascii="Invesco Interstate Light" w:eastAsiaTheme="minorEastAsia" w:hAnsi="Invesco Interstate Light"/>
          <w:i/>
          <w:iCs/>
          <w:sz w:val="22"/>
          <w:szCs w:val="22"/>
          <w:lang w:eastAsia="de-DE"/>
        </w:rPr>
        <w:t xml:space="preserve"> </w:t>
      </w:r>
      <w:proofErr w:type="spellStart"/>
      <w:r w:rsidRPr="00E06975">
        <w:rPr>
          <w:rFonts w:ascii="Invesco Interstate Light" w:eastAsiaTheme="minorEastAsia" w:hAnsi="Invesco Interstate Light"/>
          <w:i/>
          <w:iCs/>
          <w:sz w:val="22"/>
          <w:szCs w:val="22"/>
          <w:lang w:eastAsia="de-DE"/>
        </w:rPr>
        <w:t>of</w:t>
      </w:r>
      <w:proofErr w:type="spellEnd"/>
      <w:r w:rsidRPr="00E06975">
        <w:rPr>
          <w:rFonts w:ascii="Invesco Interstate Light" w:eastAsiaTheme="minorEastAsia" w:hAnsi="Invesco Interstate Light"/>
          <w:i/>
          <w:iCs/>
          <w:sz w:val="22"/>
          <w:szCs w:val="22"/>
          <w:lang w:eastAsia="de-DE"/>
        </w:rPr>
        <w:t xml:space="preserve"> </w:t>
      </w:r>
      <w:proofErr w:type="spellStart"/>
      <w:r w:rsidRPr="00E06975">
        <w:rPr>
          <w:rFonts w:ascii="Invesco Interstate Light" w:eastAsiaTheme="minorEastAsia" w:hAnsi="Invesco Interstate Light"/>
          <w:i/>
          <w:iCs/>
          <w:sz w:val="22"/>
          <w:szCs w:val="22"/>
          <w:lang w:eastAsia="de-DE"/>
        </w:rPr>
        <w:t>Macro</w:t>
      </w:r>
      <w:proofErr w:type="spellEnd"/>
      <w:r w:rsidRPr="00E06975">
        <w:rPr>
          <w:rFonts w:ascii="Invesco Interstate Light" w:eastAsiaTheme="minorEastAsia" w:hAnsi="Invesco Interstate Light"/>
          <w:i/>
          <w:iCs/>
          <w:sz w:val="22"/>
          <w:szCs w:val="22"/>
          <w:lang w:eastAsia="de-DE"/>
        </w:rPr>
        <w:t xml:space="preserve"> </w:t>
      </w:r>
      <w:proofErr w:type="spellStart"/>
      <w:r w:rsidRPr="00E06975">
        <w:rPr>
          <w:rFonts w:ascii="Invesco Interstate Light" w:eastAsiaTheme="minorEastAsia" w:hAnsi="Invesco Interstate Light"/>
          <w:i/>
          <w:iCs/>
          <w:sz w:val="22"/>
          <w:szCs w:val="22"/>
          <w:lang w:eastAsia="de-DE"/>
        </w:rPr>
        <w:t>Research</w:t>
      </w:r>
      <w:proofErr w:type="spellEnd"/>
      <w:r w:rsidRPr="00E06975">
        <w:rPr>
          <w:rFonts w:ascii="Invesco Interstate Light" w:eastAsiaTheme="minorEastAsia" w:hAnsi="Invesco Interstate Light"/>
          <w:i/>
          <w:iCs/>
          <w:sz w:val="22"/>
          <w:szCs w:val="22"/>
          <w:lang w:eastAsia="de-DE"/>
        </w:rPr>
        <w:t xml:space="preserve">, </w:t>
      </w:r>
      <w:proofErr w:type="spellStart"/>
      <w:r w:rsidRPr="00E06975">
        <w:rPr>
          <w:rFonts w:ascii="Invesco Interstate Light" w:eastAsiaTheme="minorEastAsia" w:hAnsi="Invesco Interstate Light"/>
          <w:i/>
          <w:iCs/>
          <w:sz w:val="22"/>
          <w:szCs w:val="22"/>
          <w:lang w:eastAsia="de-DE"/>
        </w:rPr>
        <w:t>Invesco</w:t>
      </w:r>
      <w:proofErr w:type="spellEnd"/>
      <w:r w:rsidRPr="00E06975">
        <w:rPr>
          <w:rFonts w:ascii="Invesco Interstate Light" w:eastAsiaTheme="minorEastAsia" w:hAnsi="Invesco Interstate Light"/>
          <w:i/>
          <w:iCs/>
          <w:sz w:val="22"/>
          <w:szCs w:val="22"/>
          <w:lang w:eastAsia="de-DE"/>
        </w:rPr>
        <w:t xml:space="preserve"> </w:t>
      </w:r>
      <w:proofErr w:type="spellStart"/>
      <w:r w:rsidRPr="00E06975">
        <w:rPr>
          <w:rFonts w:ascii="Invesco Interstate Light" w:eastAsiaTheme="minorEastAsia" w:hAnsi="Invesco Interstate Light"/>
          <w:i/>
          <w:iCs/>
          <w:sz w:val="22"/>
          <w:szCs w:val="22"/>
          <w:lang w:eastAsia="de-DE"/>
        </w:rPr>
        <w:t>Fixed</w:t>
      </w:r>
      <w:proofErr w:type="spellEnd"/>
      <w:r w:rsidRPr="00E06975">
        <w:rPr>
          <w:rFonts w:ascii="Invesco Interstate Light" w:eastAsiaTheme="minorEastAsia" w:hAnsi="Invesco Interstate Light"/>
          <w:i/>
          <w:iCs/>
          <w:sz w:val="22"/>
          <w:szCs w:val="22"/>
          <w:lang w:eastAsia="de-DE"/>
        </w:rPr>
        <w:t xml:space="preserve"> </w:t>
      </w:r>
      <w:proofErr w:type="spellStart"/>
      <w:r w:rsidRPr="00E06975">
        <w:rPr>
          <w:rFonts w:ascii="Invesco Interstate Light" w:eastAsiaTheme="minorEastAsia" w:hAnsi="Invesco Interstate Light"/>
          <w:i/>
          <w:iCs/>
          <w:sz w:val="22"/>
          <w:szCs w:val="22"/>
          <w:lang w:eastAsia="de-DE"/>
        </w:rPr>
        <w:t>Income</w:t>
      </w:r>
      <w:proofErr w:type="spellEnd"/>
      <w:r w:rsidRPr="00E06975">
        <w:rPr>
          <w:rFonts w:ascii="Invesco Interstate Light" w:eastAsiaTheme="minorEastAsia" w:hAnsi="Invesco Interstate Light"/>
          <w:i/>
          <w:iCs/>
          <w:sz w:val="22"/>
          <w:szCs w:val="22"/>
          <w:lang w:eastAsia="de-DE"/>
        </w:rPr>
        <w:t xml:space="preserve">, </w:t>
      </w:r>
    </w:p>
    <w:p w14:paraId="3160352F" w14:textId="77777777" w:rsidR="00E06975" w:rsidRPr="00E06975" w:rsidRDefault="00E06975" w:rsidP="00E06975">
      <w:pPr>
        <w:pStyle w:val="Normlnweb"/>
        <w:spacing w:beforeAutospacing="0" w:afterAutospacing="0"/>
        <w:rPr>
          <w:rFonts w:ascii="Invesco Interstate Light" w:eastAsiaTheme="minorEastAsia" w:hAnsi="Invesco Interstate Light"/>
          <w:i/>
          <w:iCs/>
          <w:sz w:val="22"/>
          <w:szCs w:val="22"/>
          <w:lang w:eastAsia="de-DE"/>
        </w:rPr>
      </w:pPr>
      <w:r w:rsidRPr="00E06975">
        <w:rPr>
          <w:rFonts w:ascii="Invesco Interstate Light" w:eastAsiaTheme="minorEastAsia" w:hAnsi="Invesco Interstate Light"/>
          <w:i/>
          <w:iCs/>
          <w:sz w:val="22"/>
          <w:szCs w:val="22"/>
          <w:lang w:eastAsia="de-DE"/>
        </w:rPr>
        <w:t xml:space="preserve">Alessio de </w:t>
      </w:r>
      <w:proofErr w:type="spellStart"/>
      <w:r w:rsidRPr="00E06975">
        <w:rPr>
          <w:rFonts w:ascii="Invesco Interstate Light" w:eastAsiaTheme="minorEastAsia" w:hAnsi="Invesco Interstate Light"/>
          <w:i/>
          <w:iCs/>
          <w:sz w:val="22"/>
          <w:szCs w:val="22"/>
          <w:lang w:eastAsia="de-DE"/>
        </w:rPr>
        <w:t>Longis</w:t>
      </w:r>
      <w:proofErr w:type="spellEnd"/>
      <w:r w:rsidRPr="00E06975">
        <w:rPr>
          <w:rFonts w:ascii="Invesco Interstate Light" w:eastAsiaTheme="minorEastAsia" w:hAnsi="Invesco Interstate Light"/>
          <w:i/>
          <w:iCs/>
          <w:sz w:val="22"/>
          <w:szCs w:val="22"/>
          <w:lang w:eastAsia="de-DE"/>
        </w:rPr>
        <w:t xml:space="preserve">, Senior Portfolio Manager and </w:t>
      </w:r>
      <w:proofErr w:type="spellStart"/>
      <w:r w:rsidRPr="00E06975">
        <w:rPr>
          <w:rFonts w:ascii="Invesco Interstate Light" w:eastAsiaTheme="minorEastAsia" w:hAnsi="Invesco Interstate Light"/>
          <w:i/>
          <w:iCs/>
          <w:sz w:val="22"/>
          <w:szCs w:val="22"/>
          <w:lang w:eastAsia="de-DE"/>
        </w:rPr>
        <w:t>Head</w:t>
      </w:r>
      <w:proofErr w:type="spellEnd"/>
      <w:r w:rsidRPr="00E06975">
        <w:rPr>
          <w:rFonts w:ascii="Invesco Interstate Light" w:eastAsiaTheme="minorEastAsia" w:hAnsi="Invesco Interstate Light"/>
          <w:i/>
          <w:iCs/>
          <w:sz w:val="22"/>
          <w:szCs w:val="22"/>
          <w:lang w:eastAsia="de-DE"/>
        </w:rPr>
        <w:t xml:space="preserve"> </w:t>
      </w:r>
      <w:proofErr w:type="spellStart"/>
      <w:r w:rsidRPr="00E06975">
        <w:rPr>
          <w:rFonts w:ascii="Invesco Interstate Light" w:eastAsiaTheme="minorEastAsia" w:hAnsi="Invesco Interstate Light"/>
          <w:i/>
          <w:iCs/>
          <w:sz w:val="22"/>
          <w:szCs w:val="22"/>
          <w:lang w:eastAsia="de-DE"/>
        </w:rPr>
        <w:t>of</w:t>
      </w:r>
      <w:proofErr w:type="spellEnd"/>
      <w:r w:rsidRPr="00E06975">
        <w:rPr>
          <w:rFonts w:ascii="Invesco Interstate Light" w:eastAsiaTheme="minorEastAsia" w:hAnsi="Invesco Interstate Light"/>
          <w:i/>
          <w:iCs/>
          <w:sz w:val="22"/>
          <w:szCs w:val="22"/>
          <w:lang w:eastAsia="de-DE"/>
        </w:rPr>
        <w:t xml:space="preserve"> Global </w:t>
      </w:r>
      <w:proofErr w:type="spellStart"/>
      <w:r w:rsidRPr="00E06975">
        <w:rPr>
          <w:rFonts w:ascii="Invesco Interstate Light" w:eastAsiaTheme="minorEastAsia" w:hAnsi="Invesco Interstate Light"/>
          <w:i/>
          <w:iCs/>
          <w:sz w:val="22"/>
          <w:szCs w:val="22"/>
          <w:lang w:eastAsia="de-DE"/>
        </w:rPr>
        <w:t>Tactical</w:t>
      </w:r>
      <w:proofErr w:type="spellEnd"/>
      <w:r w:rsidRPr="00E06975">
        <w:rPr>
          <w:rFonts w:ascii="Invesco Interstate Light" w:eastAsiaTheme="minorEastAsia" w:hAnsi="Invesco Interstate Light"/>
          <w:i/>
          <w:iCs/>
          <w:sz w:val="22"/>
          <w:szCs w:val="22"/>
          <w:lang w:eastAsia="de-DE"/>
        </w:rPr>
        <w:t xml:space="preserve"> </w:t>
      </w:r>
      <w:proofErr w:type="spellStart"/>
      <w:r w:rsidRPr="00E06975">
        <w:rPr>
          <w:rFonts w:ascii="Invesco Interstate Light" w:eastAsiaTheme="minorEastAsia" w:hAnsi="Invesco Interstate Light"/>
          <w:i/>
          <w:iCs/>
          <w:sz w:val="22"/>
          <w:szCs w:val="22"/>
          <w:lang w:eastAsia="de-DE"/>
        </w:rPr>
        <w:t>Asset</w:t>
      </w:r>
      <w:proofErr w:type="spellEnd"/>
      <w:r w:rsidRPr="00E06975">
        <w:rPr>
          <w:rFonts w:ascii="Invesco Interstate Light" w:eastAsiaTheme="minorEastAsia" w:hAnsi="Invesco Interstate Light"/>
          <w:i/>
          <w:iCs/>
          <w:sz w:val="22"/>
          <w:szCs w:val="22"/>
          <w:lang w:eastAsia="de-DE"/>
        </w:rPr>
        <w:t xml:space="preserve"> </w:t>
      </w:r>
      <w:proofErr w:type="spellStart"/>
      <w:r w:rsidRPr="00E06975">
        <w:rPr>
          <w:rFonts w:ascii="Invesco Interstate Light" w:eastAsiaTheme="minorEastAsia" w:hAnsi="Invesco Interstate Light"/>
          <w:i/>
          <w:iCs/>
          <w:sz w:val="22"/>
          <w:szCs w:val="22"/>
          <w:lang w:eastAsia="de-DE"/>
        </w:rPr>
        <w:t>Allocation</w:t>
      </w:r>
      <w:proofErr w:type="spellEnd"/>
      <w:r w:rsidRPr="00E06975">
        <w:rPr>
          <w:rFonts w:ascii="Invesco Interstate Light" w:eastAsiaTheme="minorEastAsia" w:hAnsi="Invesco Interstate Light"/>
          <w:i/>
          <w:iCs/>
          <w:sz w:val="22"/>
          <w:szCs w:val="22"/>
          <w:lang w:eastAsia="de-DE"/>
        </w:rPr>
        <w:t xml:space="preserve"> </w:t>
      </w:r>
      <w:proofErr w:type="spellStart"/>
      <w:r w:rsidRPr="00E06975">
        <w:rPr>
          <w:rFonts w:ascii="Invesco Interstate Light" w:eastAsiaTheme="minorEastAsia" w:hAnsi="Invesco Interstate Light"/>
          <w:i/>
          <w:iCs/>
          <w:sz w:val="22"/>
          <w:szCs w:val="22"/>
          <w:lang w:eastAsia="de-DE"/>
        </w:rPr>
        <w:t>Solutions</w:t>
      </w:r>
      <w:proofErr w:type="spellEnd"/>
    </w:p>
    <w:p w14:paraId="09508815" w14:textId="77777777" w:rsidR="00E06975" w:rsidRPr="006820EC" w:rsidRDefault="00E06975" w:rsidP="006820EC">
      <w:pPr>
        <w:spacing w:line="240" w:lineRule="auto"/>
        <w:jc w:val="both"/>
        <w:rPr>
          <w:rFonts w:ascii="Invesco Interstate Light" w:eastAsiaTheme="minorEastAsia" w:hAnsi="Invesco Interstate Light"/>
          <w:sz w:val="22"/>
          <w:szCs w:val="22"/>
        </w:rPr>
      </w:pPr>
    </w:p>
    <w:p w14:paraId="456D0E8C" w14:textId="77777777" w:rsidR="00D82F78" w:rsidRDefault="00D82F78" w:rsidP="00651AAE">
      <w:pPr>
        <w:autoSpaceDE w:val="0"/>
        <w:autoSpaceDN w:val="0"/>
        <w:adjustRightInd w:val="0"/>
        <w:spacing w:line="240" w:lineRule="auto"/>
        <w:rPr>
          <w:rFonts w:ascii="Invesco Interstate Light" w:hAnsi="Invesco Interstate Light"/>
          <w:b/>
          <w:bCs/>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CEFA5D0" w14:textId="146CAA2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7BF77D56" w14:textId="2C324C9A"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27649EBB" w14:textId="77777777" w:rsidR="00654055" w:rsidRPr="00654055" w:rsidRDefault="00654055" w:rsidP="00651AAE">
      <w:pPr>
        <w:autoSpaceDE w:val="0"/>
        <w:autoSpaceDN w:val="0"/>
        <w:adjustRightInd w:val="0"/>
        <w:spacing w:line="240" w:lineRule="auto"/>
        <w:rPr>
          <w:rFonts w:ascii="Invesco Interstate Light" w:hAnsi="Invesco Interstate Light"/>
          <w:sz w:val="22"/>
          <w:szCs w:val="22"/>
        </w:rPr>
      </w:pP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1D8AC0F5" w14:textId="77777777" w:rsidR="00861B48" w:rsidRPr="00873CBF" w:rsidRDefault="005A7C57" w:rsidP="00861B48">
      <w:pPr>
        <w:spacing w:line="240" w:lineRule="exact"/>
        <w:rPr>
          <w:rFonts w:ascii="Invesco Interstate Light" w:hAnsi="Invesco Interstate Light"/>
          <w:sz w:val="22"/>
          <w:szCs w:val="22"/>
        </w:rPr>
      </w:pPr>
      <w:r>
        <w:fldChar w:fldCharType="begin"/>
      </w:r>
      <w:r>
        <w:instrText>HYPERLINK \o "blocked::http://www.crestcom.cz http://www.crestcom.cz/"</w:instrText>
      </w:r>
      <w:r>
        <w:fldChar w:fldCharType="separate"/>
      </w:r>
      <w:r w:rsidR="00657ED1">
        <w:rPr>
          <w:rFonts w:ascii="Times New Roman" w:hAnsi="Times New Roman"/>
          <w:b/>
          <w:bCs/>
        </w:rPr>
        <w:t>Chyba! Odkaz není platný.</w:t>
      </w:r>
      <w:r>
        <w:rPr>
          <w:rFonts w:ascii="Times New Roman" w:hAnsi="Times New Roman"/>
          <w:b/>
          <w:bCs/>
        </w:rPr>
        <w:fldChar w:fldCharType="end"/>
      </w:r>
    </w:p>
    <w:p w14:paraId="22D43DA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5808" w14:textId="77777777" w:rsidR="00FF1F4F" w:rsidRDefault="00FF1F4F">
      <w:r>
        <w:separator/>
      </w:r>
    </w:p>
  </w:endnote>
  <w:endnote w:type="continuationSeparator" w:id="0">
    <w:p w14:paraId="71D6AA07" w14:textId="77777777" w:rsidR="00FF1F4F" w:rsidRDefault="00FF1F4F">
      <w:r>
        <w:continuationSeparator/>
      </w:r>
    </w:p>
  </w:endnote>
  <w:endnote w:type="continuationNotice" w:id="1">
    <w:p w14:paraId="357005DC" w14:textId="77777777" w:rsidR="00FF1F4F" w:rsidRDefault="00FF1F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AFD7" w14:textId="77777777" w:rsidR="00FF1F4F" w:rsidRDefault="00FF1F4F">
      <w:r>
        <w:separator/>
      </w:r>
    </w:p>
  </w:footnote>
  <w:footnote w:type="continuationSeparator" w:id="0">
    <w:p w14:paraId="5B253BBF" w14:textId="77777777" w:rsidR="00FF1F4F" w:rsidRDefault="00FF1F4F">
      <w:r>
        <w:continuationSeparator/>
      </w:r>
    </w:p>
  </w:footnote>
  <w:footnote w:type="continuationNotice" w:id="1">
    <w:p w14:paraId="35BE0A06" w14:textId="77777777" w:rsidR="00FF1F4F" w:rsidRDefault="00FF1F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A46D70"/>
    <w:multiLevelType w:val="multilevel"/>
    <w:tmpl w:val="11820CCE"/>
    <w:numStyleLink w:val="FormatvorlageAufgezhlt"/>
  </w:abstractNum>
  <w:abstractNum w:abstractNumId="7"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30B23"/>
    <w:multiLevelType w:val="multilevel"/>
    <w:tmpl w:val="11820CCE"/>
    <w:numStyleLink w:val="FormatvorlageAufgezhlt"/>
  </w:abstractNum>
  <w:abstractNum w:abstractNumId="10"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D403C3"/>
    <w:multiLevelType w:val="multilevel"/>
    <w:tmpl w:val="11820CCE"/>
    <w:numStyleLink w:val="FormatvorlageAufgezhlt"/>
  </w:abstractNum>
  <w:abstractNum w:abstractNumId="14" w15:restartNumberingAfterBreak="0">
    <w:nsid w:val="6C6C4721"/>
    <w:multiLevelType w:val="multilevel"/>
    <w:tmpl w:val="11820CCE"/>
    <w:numStyleLink w:val="FormatvorlageAufgezhlt"/>
  </w:abstractNum>
  <w:abstractNum w:abstractNumId="15"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E5380B"/>
    <w:multiLevelType w:val="multilevel"/>
    <w:tmpl w:val="11820CCE"/>
    <w:numStyleLink w:val="FormatvorlageAufgezhlt"/>
  </w:abstractNum>
  <w:abstractNum w:abstractNumId="17"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7"/>
  </w:num>
  <w:num w:numId="3" w16cid:durableId="1282105589">
    <w:abstractNumId w:val="11"/>
  </w:num>
  <w:num w:numId="4" w16cid:durableId="1617441895">
    <w:abstractNumId w:val="8"/>
  </w:num>
  <w:num w:numId="5" w16cid:durableId="1267425896">
    <w:abstractNumId w:val="9"/>
  </w:num>
  <w:num w:numId="6" w16cid:durableId="1792238606">
    <w:abstractNumId w:val="13"/>
  </w:num>
  <w:num w:numId="7" w16cid:durableId="190919629">
    <w:abstractNumId w:val="14"/>
  </w:num>
  <w:num w:numId="8" w16cid:durableId="2083285618">
    <w:abstractNumId w:val="1"/>
  </w:num>
  <w:num w:numId="9" w16cid:durableId="1653213567">
    <w:abstractNumId w:val="16"/>
  </w:num>
  <w:num w:numId="10" w16cid:durableId="849561851">
    <w:abstractNumId w:val="6"/>
  </w:num>
  <w:num w:numId="11" w16cid:durableId="1899129255">
    <w:abstractNumId w:val="3"/>
  </w:num>
  <w:num w:numId="12" w16cid:durableId="1348407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19"/>
  </w:num>
  <w:num w:numId="14" w16cid:durableId="2009676695">
    <w:abstractNumId w:val="20"/>
  </w:num>
  <w:num w:numId="15" w16cid:durableId="1629623239">
    <w:abstractNumId w:val="10"/>
  </w:num>
  <w:num w:numId="16" w16cid:durableId="1975720235">
    <w:abstractNumId w:val="4"/>
  </w:num>
  <w:num w:numId="17" w16cid:durableId="103501300">
    <w:abstractNumId w:val="2"/>
  </w:num>
  <w:num w:numId="18" w16cid:durableId="1434014312">
    <w:abstractNumId w:val="12"/>
  </w:num>
  <w:num w:numId="19" w16cid:durableId="832065860">
    <w:abstractNumId w:val="15"/>
  </w:num>
  <w:num w:numId="20" w16cid:durableId="667943464">
    <w:abstractNumId w:val="18"/>
  </w:num>
  <w:num w:numId="21" w16cid:durableId="2253431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A88"/>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753"/>
    <w:rsid w:val="009D37F8"/>
    <w:rsid w:val="009D484D"/>
    <w:rsid w:val="009D5CD2"/>
    <w:rsid w:val="009D7140"/>
    <w:rsid w:val="009E0BD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1638</Words>
  <Characters>9970</Characters>
  <Application>Microsoft Office Word</Application>
  <DocSecurity>4</DocSecurity>
  <Lines>83</Lines>
  <Paragraphs>23</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Dokumenty Crestcom</cp:lastModifiedBy>
  <cp:revision>2</cp:revision>
  <cp:lastPrinted>2021-02-17T20:24:00Z</cp:lastPrinted>
  <dcterms:created xsi:type="dcterms:W3CDTF">2022-07-12T07:56:00Z</dcterms:created>
  <dcterms:modified xsi:type="dcterms:W3CDTF">2022-07-12T07:56:00Z</dcterms:modified>
</cp:coreProperties>
</file>